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1E" w:rsidRDefault="00731D1E" w:rsidP="00486122">
      <w:pPr>
        <w:pStyle w:val="GDListenummeriertrmisch"/>
        <w:numPr>
          <w:ilvl w:val="0"/>
          <w:numId w:val="0"/>
        </w:numPr>
      </w:pPr>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503"/>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061EAF" w:rsidP="00061EAF">
            <w:pPr>
              <w:pStyle w:val="GDDokumententitel"/>
              <w:rPr>
                <w:sz w:val="28"/>
                <w:szCs w:val="32"/>
              </w:rPr>
            </w:pPr>
            <w:r w:rsidRPr="00061EAF">
              <w:rPr>
                <w:sz w:val="28"/>
                <w:szCs w:val="32"/>
              </w:rPr>
              <w:t xml:space="preserve">Beilage 2 zum Revisionsbericht (Abrechnung </w:t>
            </w:r>
            <w:r w:rsidR="00305CD4">
              <w:rPr>
                <w:sz w:val="28"/>
                <w:szCs w:val="32"/>
              </w:rPr>
              <w:t>201</w:t>
            </w:r>
            <w:r w:rsidR="009245E6">
              <w:rPr>
                <w:sz w:val="28"/>
                <w:szCs w:val="32"/>
              </w:rPr>
              <w:t>8</w:t>
            </w:r>
            <w:r w:rsidRPr="00061EAF">
              <w:rPr>
                <w:sz w:val="28"/>
                <w:szCs w:val="32"/>
              </w:rPr>
              <w:t>)</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Abrechnu</w:t>
      </w:r>
      <w:bookmarkStart w:id="0" w:name="_GoBack"/>
      <w:bookmarkEnd w:id="0"/>
      <w:r w:rsidRPr="00CF133C">
        <w:rPr>
          <w:b/>
          <w:sz w:val="20"/>
          <w:szCs w:val="21"/>
        </w:rPr>
        <w:t xml:space="preserve">ng </w:t>
      </w:r>
      <w:r w:rsidR="00305CD4">
        <w:rPr>
          <w:b/>
          <w:sz w:val="20"/>
          <w:szCs w:val="21"/>
        </w:rPr>
        <w:t>201</w:t>
      </w:r>
      <w:r w:rsidR="009245E6">
        <w:rPr>
          <w:b/>
          <w:sz w:val="20"/>
          <w:szCs w:val="21"/>
        </w:rPr>
        <w:t>8</w:t>
      </w:r>
      <w:r w:rsidRPr="00CF133C">
        <w:rPr>
          <w:b/>
          <w:sz w:val="20"/>
          <w:szCs w:val="21"/>
        </w:rPr>
        <w:t>)</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 xml:space="preserve">KVG-Abrechnung </w:t>
      </w:r>
      <w:r w:rsidR="00305CD4" w:rsidRPr="00731D1E">
        <w:rPr>
          <w:b/>
          <w:sz w:val="32"/>
          <w:szCs w:val="36"/>
          <w:lang w:val="de-DE"/>
        </w:rPr>
        <w:t>20</w:t>
      </w:r>
      <w:r w:rsidR="00305CD4">
        <w:rPr>
          <w:b/>
          <w:sz w:val="32"/>
          <w:szCs w:val="36"/>
          <w:lang w:val="de-DE"/>
        </w:rPr>
        <w:t>1</w:t>
      </w:r>
      <w:r w:rsidR="009245E6">
        <w:rPr>
          <w:b/>
          <w:sz w:val="32"/>
          <w:szCs w:val="36"/>
          <w:lang w:val="de-DE"/>
        </w:rPr>
        <w:t>8</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ankreuzen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 xml:space="preserve">Durch die obligatorischen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 xml:space="preserve">in ihrer Kontroll- bzw. Revisionsarbeit unterstützen, indem auf die meist bekannten Fehlerquellen hingewiesen wird. </w:t>
      </w:r>
    </w:p>
    <w:p w:rsidR="00E868B8" w:rsidRPr="00CF133C" w:rsidRDefault="00E868B8" w:rsidP="00B82B7B">
      <w:pPr>
        <w:pStyle w:val="GDFliesstext"/>
      </w:pPr>
    </w:p>
    <w:p w:rsidR="00CF133C" w:rsidRDefault="006815FC" w:rsidP="00B82B7B">
      <w:pPr>
        <w:pStyle w:val="GDFliesstext"/>
      </w:pPr>
      <w:r w:rsidRPr="00CF133C">
        <w:t xml:space="preserve">Das Prüfprogramm unterscheidet zwischen unwesentlichen und wesentlichen Feststellungen.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proofErr w:type="gramStart"/>
      <w:r w:rsidR="00E46A71" w:rsidRPr="00CF133C">
        <w:t>hat</w:t>
      </w:r>
      <w:proofErr w:type="gramEnd"/>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 xml:space="preserve">Wesentliche Feststellungen, welche im Rahmen der Revision nicht korrigiert werden konnten, müssen im Revisionsbericht festgehalten werden. </w:t>
            </w:r>
          </w:p>
        </w:tc>
      </w:tr>
    </w:tbl>
    <w:p w:rsidR="00061EAF" w:rsidRPr="00CF133C" w:rsidRDefault="00061EAF" w:rsidP="00B82B7B">
      <w:pPr>
        <w:pStyle w:val="GDFliesstext"/>
      </w:pPr>
    </w:p>
    <w:p w:rsidR="00B82B7B" w:rsidRPr="00CF133C" w:rsidRDefault="00B82B7B" w:rsidP="00B82B7B">
      <w:pPr>
        <w:pStyle w:val="GDFliesstext"/>
      </w:pPr>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entsprechend</w:t>
      </w:r>
      <w:r w:rsidR="00E43689">
        <w:t xml:space="preserve"> auf der letzten Seite des Prüfprogramms</w:t>
      </w:r>
      <w:r w:rsidR="001D652B" w:rsidRPr="00CF133C">
        <w:t xml:space="preserve"> datiert und visiert werden</w:t>
      </w:r>
      <w:r w:rsidRPr="00CF133C">
        <w:t xml:space="preserve">. Die Gesundheitsdirektion </w:t>
      </w:r>
      <w:r w:rsidR="000939FD" w:rsidRPr="00CF133C">
        <w:t>legt</w:t>
      </w:r>
      <w:r w:rsidR="00061EAF" w:rsidRPr="00CF133C">
        <w:t xml:space="preserve"> </w:t>
      </w:r>
      <w:r w:rsidRPr="00CF133C">
        <w:t xml:space="preserve">den erforderlichen Inhalt des Revisionsberichts für sämtliche Revisionsstellen in einer zusätzlichen Unterlage </w:t>
      </w:r>
      <w:r w:rsidR="000939FD" w:rsidRPr="00CF133C">
        <w:t xml:space="preserve">fest </w:t>
      </w:r>
      <w:r w:rsidRPr="00CF133C">
        <w:t xml:space="preserve">(abrufbar ab Mitte Dezember </w:t>
      </w:r>
      <w:r w:rsidR="00305CD4">
        <w:t>201</w:t>
      </w:r>
      <w:r w:rsidR="009245E6">
        <w:t>8</w:t>
      </w:r>
      <w:r w:rsidR="00305CD4" w:rsidRPr="00CF133C">
        <w:t xml:space="preserve"> </w:t>
      </w:r>
      <w:r w:rsidRPr="00CF133C">
        <w:t xml:space="preserve">auf der verdeckten Internet-Seite www.gd.zh.ch/gemeinden, Benutzername </w:t>
      </w:r>
      <w:proofErr w:type="spellStart"/>
      <w:r w:rsidRPr="00CF133C">
        <w:t>zh_gdsec</w:t>
      </w:r>
      <w:proofErr w:type="spellEnd"/>
      <w:r w:rsidRPr="00CF133C">
        <w:t xml:space="preserve">; Kennwort: Y1ct4q5t, unter dem Titel „Revision der KVG-Abrechnung </w:t>
      </w:r>
      <w:r w:rsidR="00305CD4">
        <w:t>201</w:t>
      </w:r>
      <w:r w:rsidR="009245E6">
        <w:t>8</w:t>
      </w:r>
      <w:r w:rsidRPr="00CF133C">
        <w:t>“).</w:t>
      </w:r>
    </w:p>
    <w:p w:rsidR="00B82B7B" w:rsidRPr="00CF133C" w:rsidRDefault="00B82B7B" w:rsidP="00B82B7B">
      <w:pPr>
        <w:pStyle w:val="GDFliesstext"/>
      </w:pP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 xml:space="preserve">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insbesondere mit dem jeweiligen Leitfaden der Gesundheitsdirektion zur Abrechnung </w:t>
      </w:r>
      <w:r w:rsidR="00305CD4">
        <w:t>201</w:t>
      </w:r>
      <w:r w:rsidR="009245E6">
        <w:t>8</w:t>
      </w:r>
      <w:r w:rsidR="00305CD4" w:rsidRPr="00CF133C">
        <w:t xml:space="preserve"> </w:t>
      </w:r>
      <w:r w:rsidRPr="00CF133C">
        <w:t xml:space="preserve">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p>
    <w:p w:rsidR="00B82B7B" w:rsidRPr="00C66FB3" w:rsidRDefault="00B82B7B" w:rsidP="00B82B7B">
      <w:pPr>
        <w:pStyle w:val="GDFliesstext"/>
        <w:rPr>
          <w:lang w:val="de-DE"/>
        </w:rPr>
      </w:pPr>
      <w:r w:rsidRPr="0062781F">
        <w:rPr>
          <w:lang w:val="de-DE"/>
        </w:rPr>
        <w:t xml:space="preserve">Allgemeine Bemerkung zu den Stichproben: Die zum Teil vorgegebene </w:t>
      </w:r>
      <w:proofErr w:type="spellStart"/>
      <w:r w:rsidRPr="0062781F">
        <w:rPr>
          <w:lang w:val="de-DE"/>
        </w:rPr>
        <w:t>Grösse</w:t>
      </w:r>
      <w:proofErr w:type="spellEnd"/>
      <w:r w:rsidRPr="0062781F">
        <w:rPr>
          <w:lang w:val="de-DE"/>
        </w:rPr>
        <w:t xml:space="preserve"> der Stichproben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w:t>
      </w:r>
      <w:proofErr w:type="spellStart"/>
      <w:r w:rsidRPr="0062781F">
        <w:rPr>
          <w:lang w:val="de-DE"/>
        </w:rPr>
        <w:t>Grösse</w:t>
      </w:r>
      <w:proofErr w:type="spellEnd"/>
      <w:r w:rsidRPr="0062781F">
        <w:rPr>
          <w:lang w:val="de-DE"/>
        </w:rPr>
        <w:t xml:space="preserve"> der Stichproben zu berücksichtigen.</w:t>
      </w:r>
      <w:r w:rsidR="004245F5">
        <w:rPr>
          <w:lang w:val="de-DE"/>
        </w:rPr>
        <w:t xml:space="preserve"> Falls die </w:t>
      </w:r>
      <w:proofErr w:type="spellStart"/>
      <w:r w:rsidR="004245F5">
        <w:rPr>
          <w:lang w:val="de-DE"/>
        </w:rPr>
        <w:t>Grösse</w:t>
      </w:r>
      <w:proofErr w:type="spellEnd"/>
      <w:r w:rsidR="004245F5">
        <w:rPr>
          <w:lang w:val="de-DE"/>
        </w:rPr>
        <w:t xml:space="preserve"> der Stichprobe aufgrund eines IKS unterschritten wird, ist </w:t>
      </w:r>
      <w:r w:rsidR="004245F5" w:rsidRPr="00C66FB3">
        <w:rPr>
          <w:lang w:val="de-DE"/>
        </w:rPr>
        <w:t xml:space="preserve">dies </w:t>
      </w:r>
      <w:r w:rsidR="00C66FB3" w:rsidRPr="00C66FB3">
        <w:rPr>
          <w:lang w:val="de-DE"/>
        </w:rPr>
        <w:t xml:space="preserve">in der Zeile „Erläuterungen“ der jeweiligen Prüfhandlung </w:t>
      </w:r>
      <w:proofErr w:type="spellStart"/>
      <w:r w:rsidR="004245F5" w:rsidRPr="00C66FB3">
        <w:rPr>
          <w:lang w:val="de-DE"/>
        </w:rPr>
        <w:t>Prüfhandlung</w:t>
      </w:r>
      <w:proofErr w:type="spellEnd"/>
      <w:r w:rsidR="004245F5" w:rsidRPr="00C66FB3">
        <w:rPr>
          <w:lang w:val="de-DE"/>
        </w:rPr>
        <w:t xml:space="preserve"> </w:t>
      </w:r>
      <w:r w:rsidR="00C66FB3" w:rsidRPr="00C66FB3">
        <w:rPr>
          <w:lang w:val="de-DE"/>
        </w:rPr>
        <w:t>zu vermerken.</w:t>
      </w: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Allgemeine Prüfhandlungen</w:t>
      </w:r>
      <w:r w:rsidRPr="00AE213E">
        <w:rPr>
          <w:lang w:val="de-DE" w:eastAsia="ar-SA"/>
        </w:rPr>
        <w:tab/>
        <w:t>Nr. 101 - Nr. 105</w:t>
      </w:r>
      <w:r w:rsidRPr="00AE213E">
        <w:rPr>
          <w:lang w:val="de-DE" w:eastAsia="ar-SA"/>
        </w:rPr>
        <w:tab/>
        <w:t>S. 4 - 5</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Prämienübernahme Sozialhilfe</w:t>
      </w:r>
      <w:r w:rsidRPr="00AE213E">
        <w:rPr>
          <w:lang w:val="de-DE" w:eastAsia="ar-SA"/>
        </w:rPr>
        <w:tab/>
        <w:t>Nr. 201 - Nr. 22</w:t>
      </w:r>
      <w:r w:rsidR="002E4954" w:rsidRPr="00AE213E">
        <w:rPr>
          <w:lang w:val="de-DE" w:eastAsia="ar-SA"/>
        </w:rPr>
        <w:t>0</w:t>
      </w:r>
      <w:r w:rsidRPr="00AE213E">
        <w:rPr>
          <w:lang w:val="de-DE" w:eastAsia="ar-SA"/>
        </w:rPr>
        <w:tab/>
      </w:r>
      <w:r w:rsidR="00656694" w:rsidRPr="00AE213E">
        <w:rPr>
          <w:lang w:val="de-DE" w:eastAsia="ar-SA"/>
        </w:rPr>
        <w:t>S. 5 - 1</w:t>
      </w:r>
      <w:r w:rsidR="00B458F1" w:rsidRPr="00AE213E">
        <w:rPr>
          <w:lang w:val="de-DE" w:eastAsia="ar-SA"/>
        </w:rPr>
        <w:t>2</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Prämienübernahme Verlustscheine</w:t>
      </w:r>
      <w:r w:rsidRPr="00AE213E">
        <w:rPr>
          <w:lang w:val="de-DE" w:eastAsia="ar-SA"/>
        </w:rPr>
        <w:tab/>
        <w:t>Nr. 301 - Nr. 30</w:t>
      </w:r>
      <w:r w:rsidR="00AA0D06">
        <w:rPr>
          <w:lang w:val="de-DE" w:eastAsia="ar-SA"/>
        </w:rPr>
        <w:t>6</w:t>
      </w:r>
      <w:r w:rsidRPr="00AE213E">
        <w:rPr>
          <w:lang w:val="de-DE" w:eastAsia="ar-SA"/>
        </w:rPr>
        <w:tab/>
      </w:r>
      <w:r w:rsidR="00656694" w:rsidRPr="00AE213E">
        <w:rPr>
          <w:lang w:val="de-DE" w:eastAsia="ar-SA"/>
        </w:rPr>
        <w:t>S. 1</w:t>
      </w:r>
      <w:r w:rsidR="00B458F1" w:rsidRPr="00AE213E">
        <w:rPr>
          <w:lang w:val="de-DE" w:eastAsia="ar-SA"/>
        </w:rPr>
        <w:t>2</w:t>
      </w:r>
      <w:r w:rsidR="00656694" w:rsidRPr="00AE213E">
        <w:rPr>
          <w:lang w:val="de-DE" w:eastAsia="ar-SA"/>
        </w:rPr>
        <w:t xml:space="preserve"> - 1</w:t>
      </w:r>
      <w:r w:rsidR="00B458F1" w:rsidRPr="00AE213E">
        <w:rPr>
          <w:lang w:val="de-DE" w:eastAsia="ar-SA"/>
        </w:rPr>
        <w:t>3</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w:t>
      </w:r>
      <w:r w:rsidR="00E43689" w:rsidRPr="00AE213E">
        <w:rPr>
          <w:lang w:val="de-DE" w:eastAsia="ar-SA"/>
        </w:rPr>
        <w:t>EL (übrige Gemeinden)</w:t>
      </w:r>
      <w:r w:rsidR="00E43689" w:rsidRPr="00AE213E">
        <w:rPr>
          <w:lang w:val="de-DE" w:eastAsia="ar-SA"/>
        </w:rPr>
        <w:tab/>
        <w:t>Nr. 401 - Nr. 409</w:t>
      </w:r>
      <w:r w:rsidR="00E43689" w:rsidRPr="00AE213E">
        <w:rPr>
          <w:lang w:val="de-DE" w:eastAsia="ar-SA"/>
        </w:rPr>
        <w:tab/>
      </w:r>
      <w:r w:rsidR="00656694" w:rsidRPr="00AE213E">
        <w:rPr>
          <w:lang w:val="de-DE" w:eastAsia="ar-SA"/>
        </w:rPr>
        <w:t>S. 1</w:t>
      </w:r>
      <w:r w:rsidR="00B458F1" w:rsidRPr="00AE213E">
        <w:rPr>
          <w:lang w:val="de-DE" w:eastAsia="ar-SA"/>
        </w:rPr>
        <w:t>4</w:t>
      </w:r>
      <w:r w:rsidR="003A5F5B" w:rsidRPr="00AE213E">
        <w:rPr>
          <w:lang w:val="de-DE" w:eastAsia="ar-SA"/>
        </w:rPr>
        <w:t xml:space="preserve"> - 1</w:t>
      </w:r>
      <w:r w:rsidR="00B458F1" w:rsidRPr="00AE213E">
        <w:rPr>
          <w:lang w:val="de-DE" w:eastAsia="ar-SA"/>
        </w:rPr>
        <w:t>6</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EL </w:t>
      </w:r>
      <w:r w:rsidR="00E43689" w:rsidRPr="00AE213E">
        <w:rPr>
          <w:lang w:val="de-DE" w:eastAsia="ar-SA"/>
        </w:rPr>
        <w:t>(ZUSO</w:t>
      </w:r>
      <w:r w:rsidR="00A56233" w:rsidRPr="00AE213E">
        <w:rPr>
          <w:lang w:val="de-DE" w:eastAsia="ar-SA"/>
        </w:rPr>
        <w:t>/</w:t>
      </w:r>
      <w:proofErr w:type="spellStart"/>
      <w:r w:rsidR="00A56233" w:rsidRPr="00AE213E">
        <w:rPr>
          <w:lang w:val="de-DE" w:eastAsia="ar-SA"/>
        </w:rPr>
        <w:t>ZLPro</w:t>
      </w:r>
      <w:proofErr w:type="spellEnd"/>
      <w:r w:rsidR="00E43689" w:rsidRPr="00AE213E">
        <w:rPr>
          <w:lang w:val="de-DE" w:eastAsia="ar-SA"/>
        </w:rPr>
        <w:t>-Gemeinden)</w:t>
      </w:r>
      <w:r w:rsidR="00E43689" w:rsidRPr="00AE213E">
        <w:rPr>
          <w:lang w:val="de-DE" w:eastAsia="ar-SA"/>
        </w:rPr>
        <w:tab/>
        <w:t>Nr. 501 - Nr. 51</w:t>
      </w:r>
      <w:r w:rsidR="005F2237" w:rsidRPr="00AE213E">
        <w:rPr>
          <w:lang w:val="de-DE" w:eastAsia="ar-SA"/>
        </w:rPr>
        <w:t>5</w:t>
      </w:r>
      <w:r w:rsidR="00E43689" w:rsidRPr="00AE213E">
        <w:rPr>
          <w:lang w:val="de-DE" w:eastAsia="ar-SA"/>
        </w:rPr>
        <w:tab/>
      </w:r>
      <w:r w:rsidR="003A5F5B" w:rsidRPr="00AE213E">
        <w:rPr>
          <w:lang w:val="de-DE" w:eastAsia="ar-SA"/>
        </w:rPr>
        <w:t>S. 1</w:t>
      </w:r>
      <w:r w:rsidR="00B458F1" w:rsidRPr="00AE213E">
        <w:rPr>
          <w:lang w:val="de-DE" w:eastAsia="ar-SA"/>
        </w:rPr>
        <w:t>6</w:t>
      </w:r>
      <w:r w:rsidR="003A5F5B" w:rsidRPr="00AE213E">
        <w:rPr>
          <w:lang w:val="de-DE" w:eastAsia="ar-SA"/>
        </w:rPr>
        <w:t xml:space="preserve"> - 2</w:t>
      </w:r>
      <w:r w:rsidR="005070D2">
        <w:rPr>
          <w:lang w:val="de-DE" w:eastAsia="ar-SA"/>
        </w:rPr>
        <w:t>3</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AA0D06">
          <w:headerReference w:type="default" r:id="rId8"/>
          <w:footerReference w:type="even" r:id="rId9"/>
          <w:headerReference w:type="first" r:id="rId10"/>
          <w:pgSz w:w="11906" w:h="16838"/>
          <w:pgMar w:top="1701" w:right="1418" w:bottom="1531" w:left="1985" w:header="397" w:footer="851" w:gutter="0"/>
          <w:pgNumType w:start="1"/>
          <w:cols w:space="0"/>
          <w:titlePg/>
          <w:docGrid w:linePitch="286"/>
        </w:sectPr>
      </w:pPr>
      <w:bookmarkStart w:id="2" w:name="_Toc859598"/>
      <w:bookmarkStart w:id="3" w:name="_Toc929089"/>
      <w:bookmarkStart w:id="4" w:name="_Toc929361"/>
      <w:bookmarkStart w:id="5" w:name="_Toc929847"/>
      <w:bookmarkStart w:id="6" w:name="_Toc930073"/>
      <w:bookmarkStart w:id="7" w:name="_Toc2157236"/>
      <w:bookmarkStart w:id="8" w:name="_Toc2157342"/>
      <w:bookmarkStart w:id="9" w:name="_Toc2157391"/>
      <w:bookmarkStart w:id="10" w:name="_Toc2157438"/>
      <w:bookmarkStart w:id="11" w:name="_Toc3696119"/>
      <w:bookmarkStart w:id="12" w:name="_Toc3697363"/>
      <w:bookmarkStart w:id="13" w:name="_Toc3701552"/>
      <w:bookmarkStart w:id="14" w:name="_Toc3949913"/>
      <w:bookmarkStart w:id="15" w:name="_Toc3950168"/>
    </w:p>
    <w:p w:rsidR="004245F5" w:rsidRDefault="004245F5" w:rsidP="004245F5">
      <w:pPr>
        <w:pStyle w:val="GDberschrift3ohneNr"/>
        <w:rPr>
          <w:lang w:val="de-DE"/>
        </w:rPr>
      </w:pPr>
      <w:r w:rsidRPr="00E91D68">
        <w:rPr>
          <w:lang w:val="de-DE"/>
        </w:rPr>
        <w:lastRenderedPageBreak/>
        <w:t>Allgemein</w:t>
      </w:r>
      <w:bookmarkEnd w:id="2"/>
      <w:bookmarkEnd w:id="3"/>
      <w:bookmarkEnd w:id="4"/>
      <w:bookmarkEnd w:id="5"/>
      <w:bookmarkEnd w:id="6"/>
      <w:bookmarkEnd w:id="7"/>
      <w:bookmarkEnd w:id="8"/>
      <w:bookmarkEnd w:id="9"/>
      <w:bookmarkEnd w:id="10"/>
      <w:bookmarkEnd w:id="11"/>
      <w:bookmarkEnd w:id="12"/>
      <w:bookmarkEnd w:id="13"/>
      <w:bookmarkEnd w:id="14"/>
      <w:bookmarkEnd w:id="15"/>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1034" w:type="dxa"/>
            <w:shd w:val="clear" w:color="auto" w:fill="BFBFBF" w:themeFill="background1" w:themeFillShade="BF"/>
          </w:tcPr>
          <w:p w:rsidR="00E43689" w:rsidRPr="002C3605" w:rsidRDefault="00AA0D06"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077" w:type="dxa"/>
            <w:shd w:val="clear" w:color="auto" w:fill="BFBFBF" w:themeFill="background1" w:themeFillShade="BF"/>
          </w:tcPr>
          <w:p w:rsidR="00E43689" w:rsidRPr="002C3605" w:rsidRDefault="00AA0D06"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AA0D06"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D41287">
            <w:pPr>
              <w:pStyle w:val="GDListenummeriertrmisch"/>
              <w:numPr>
                <w:ilvl w:val="0"/>
                <w:numId w:val="0"/>
              </w:numPr>
              <w:rPr>
                <w:szCs w:val="21"/>
              </w:rPr>
            </w:pPr>
            <w:r w:rsidRPr="002C3605">
              <w:rPr>
                <w:szCs w:val="21"/>
                <w:lang w:val="de-DE"/>
              </w:rPr>
              <w:t xml:space="preserve">Sind die Nettoaufwendungen im Bereich Krankenversicherung in der </w:t>
            </w:r>
            <w:proofErr w:type="spellStart"/>
            <w:r w:rsidRPr="002C3605">
              <w:rPr>
                <w:szCs w:val="21"/>
                <w:lang w:val="de-DE"/>
              </w:rPr>
              <w:t>Bestandesrechnung</w:t>
            </w:r>
            <w:proofErr w:type="spellEnd"/>
            <w:r w:rsidRPr="002C3605">
              <w:rPr>
                <w:szCs w:val="21"/>
                <w:lang w:val="de-DE"/>
              </w:rPr>
              <w:t xml:space="preserve"> auf Konto 1014.xx als </w:t>
            </w:r>
            <w:proofErr w:type="spellStart"/>
            <w:r w:rsidRPr="002C3605">
              <w:rPr>
                <w:szCs w:val="21"/>
                <w:lang w:val="de-DE"/>
              </w:rPr>
              <w:t>mutmassliche</w:t>
            </w:r>
            <w:proofErr w:type="spellEnd"/>
            <w:r w:rsidRPr="002C3605">
              <w:rPr>
                <w:szCs w:val="21"/>
                <w:lang w:val="de-DE"/>
              </w:rPr>
              <w:t xml:space="preserve"> Bundes-/Staatsbeiträge aktiviert und erfolgswirksam auf Konto 520.4600 bzw. 520.4610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2C3605" w:rsidRDefault="00430235" w:rsidP="00486122">
            <w:pPr>
              <w:pStyle w:val="GDListenummeriertrmisch"/>
              <w:numPr>
                <w:ilvl w:val="0"/>
                <w:numId w:val="0"/>
              </w:numPr>
              <w:rPr>
                <w:szCs w:val="21"/>
              </w:rPr>
            </w:pPr>
            <w:r w:rsidRPr="002C3605">
              <w:rPr>
                <w:szCs w:val="21"/>
              </w:rPr>
              <w:t>Die Rückerstattung der Prämienübernahme in den drei Bereichen Zusatzleistung, Sozialhilfe und Verlustscheine sind zusammen zu aktivieren.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AA0D06"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AA0D06"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AA0D06"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GDListenummeriertrmisch"/>
              <w:numPr>
                <w:ilvl w:val="0"/>
                <w:numId w:val="0"/>
              </w:numPr>
              <w:rPr>
                <w:szCs w:val="21"/>
              </w:rPr>
            </w:pPr>
            <w:r w:rsidRPr="002C3605">
              <w:rPr>
                <w:szCs w:val="21"/>
              </w:rPr>
              <w:t>Ein Funktionensaldo kann sich zusammensetzen aus den Korrekturen des Vorjahres, dem hälftigen Anteil aus der Bewirtschaftung der Verlustscheine (Kto. 520.4365) sowie aus allfälligen in dieser Funktion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AA0D06"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AA0D06"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AA0D06"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Revisionsberichtes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A56233">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w:t>
            </w:r>
            <w:proofErr w:type="spellStart"/>
            <w:r w:rsidRPr="002C3605">
              <w:rPr>
                <w:sz w:val="21"/>
                <w:szCs w:val="21"/>
                <w:lang w:val="de-DE"/>
              </w:rPr>
              <w:t>subventionsmässig</w:t>
            </w:r>
            <w:proofErr w:type="spellEnd"/>
            <w:r w:rsidRPr="002C3605">
              <w:rPr>
                <w:sz w:val="21"/>
                <w:szCs w:val="21"/>
                <w:lang w:val="de-DE"/>
              </w:rPr>
              <w:t xml:space="preserve">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w:t>
            </w:r>
            <w:r w:rsidR="00305CD4">
              <w:rPr>
                <w:sz w:val="21"/>
                <w:szCs w:val="21"/>
                <w:lang w:val="de-DE"/>
              </w:rPr>
              <w:t>201</w:t>
            </w:r>
            <w:r w:rsidR="00A56233">
              <w:rPr>
                <w:sz w:val="21"/>
                <w:szCs w:val="21"/>
                <w:lang w:val="de-DE"/>
              </w:rPr>
              <w:t>7</w:t>
            </w:r>
            <w:r w:rsidR="00305CD4" w:rsidRPr="002C3605">
              <w:rPr>
                <w:sz w:val="21"/>
                <w:szCs w:val="21"/>
                <w:lang w:val="de-DE"/>
              </w:rPr>
              <w:t xml:space="preserve"> </w:t>
            </w:r>
            <w:r w:rsidRPr="002C3605">
              <w:rPr>
                <w:sz w:val="21"/>
                <w:szCs w:val="21"/>
                <w:lang w:val="de-DE"/>
              </w:rPr>
              <w:t xml:space="preserve">auf der spezifischen Korrekturzeile der Abrechnung </w:t>
            </w:r>
            <w:r w:rsidR="00305CD4">
              <w:rPr>
                <w:sz w:val="21"/>
                <w:szCs w:val="21"/>
                <w:lang w:val="de-DE"/>
              </w:rPr>
              <w:t>201</w:t>
            </w:r>
            <w:r w:rsidR="00A56233">
              <w:rPr>
                <w:sz w:val="21"/>
                <w:szCs w:val="21"/>
                <w:lang w:val="de-DE"/>
              </w:rPr>
              <w:t>8</w:t>
            </w:r>
            <w:r w:rsidR="00305CD4" w:rsidRPr="002C3605">
              <w:rPr>
                <w:sz w:val="21"/>
                <w:szCs w:val="21"/>
                <w:lang w:val="de-DE"/>
              </w:rPr>
              <w:t xml:space="preserve"> </w:t>
            </w:r>
            <w:r w:rsidRPr="002C3605">
              <w:rPr>
                <w:sz w:val="21"/>
                <w:szCs w:val="21"/>
                <w:lang w:val="de-DE"/>
              </w:rPr>
              <w:t>und ein zweites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760CBB" w:rsidP="00760CBB">
      <w:pPr>
        <w:rPr>
          <w:sz w:val="14"/>
        </w:rPr>
      </w:pPr>
      <w:r>
        <w:rPr>
          <w:sz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lastRenderedPageBreak/>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Empfehlungen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Statistiken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Abrechnung Sozialhilfe: Stimmen die Beträge in der Abrechnung mit den Konten der Laufenden Rechnung überein (Konten 520.3650/3660 abzüglich 520.4360)?</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w:t>
            </w:r>
            <w:proofErr w:type="spellStart"/>
            <w:r w:rsidRPr="002C3605">
              <w:rPr>
                <w:sz w:val="21"/>
                <w:szCs w:val="21"/>
              </w:rPr>
              <w:t>Tutoris</w:t>
            </w:r>
            <w:proofErr w:type="spellEnd"/>
            <w:r w:rsidRPr="002C3605">
              <w:rPr>
                <w:sz w:val="21"/>
                <w:szCs w:val="21"/>
              </w:rPr>
              <w:t xml:space="preserve">, </w:t>
            </w:r>
            <w:proofErr w:type="spellStart"/>
            <w:r w:rsidRPr="002C3605">
              <w:rPr>
                <w:sz w:val="21"/>
                <w:szCs w:val="21"/>
              </w:rPr>
              <w:t>Klib</w:t>
            </w:r>
            <w:proofErr w:type="spellEnd"/>
            <w:r w:rsidRPr="002C3605">
              <w:rPr>
                <w:sz w:val="21"/>
                <w:szCs w:val="21"/>
              </w:rPr>
              <w:t xml:space="preserve">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 xml:space="preserve">Wenn </w:t>
            </w:r>
            <w:proofErr w:type="spellStart"/>
            <w:r w:rsidRPr="002C3605">
              <w:rPr>
                <w:sz w:val="21"/>
                <w:szCs w:val="21"/>
              </w:rPr>
              <w:t>Fibu</w:t>
            </w:r>
            <w:proofErr w:type="spellEnd"/>
            <w:r w:rsidRPr="002C3605">
              <w:rPr>
                <w:sz w:val="21"/>
                <w:szCs w:val="21"/>
              </w:rPr>
              <w:t xml:space="preserve"> &lt; Nebenbuchhaltung, darf maximal </w:t>
            </w:r>
            <w:proofErr w:type="spellStart"/>
            <w:r w:rsidRPr="002C3605">
              <w:rPr>
                <w:sz w:val="21"/>
                <w:szCs w:val="21"/>
              </w:rPr>
              <w:t>Fibu</w:t>
            </w:r>
            <w:proofErr w:type="spellEnd"/>
            <w:r w:rsidRPr="002C3605">
              <w:rPr>
                <w:sz w:val="21"/>
                <w:szCs w:val="21"/>
              </w:rPr>
              <w:t xml:space="preserve">-Betrag angerechnet werden. Wenn </w:t>
            </w:r>
            <w:proofErr w:type="spellStart"/>
            <w:r w:rsidRPr="002C3605">
              <w:rPr>
                <w:sz w:val="21"/>
                <w:szCs w:val="21"/>
              </w:rPr>
              <w:t>Fibu</w:t>
            </w:r>
            <w:proofErr w:type="spellEnd"/>
            <w:r w:rsidRPr="002C3605">
              <w:rPr>
                <w:sz w:val="21"/>
                <w:szCs w:val="21"/>
              </w:rPr>
              <w:t xml:space="preserve">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proofErr w:type="spellStart"/>
            <w:r w:rsidRPr="002C3605">
              <w:rPr>
                <w:sz w:val="21"/>
                <w:szCs w:val="21"/>
                <w:u w:val="single"/>
                <w:lang w:val="de-DE"/>
              </w:rPr>
              <w:t>ausschliesslich</w:t>
            </w:r>
            <w:proofErr w:type="spellEnd"/>
            <w:r w:rsidRPr="002C3605">
              <w:rPr>
                <w:sz w:val="21"/>
                <w:szCs w:val="21"/>
                <w:lang w:val="de-DE"/>
              </w:rPr>
              <w:t xml:space="preserve"> um Prämien der obligatorischen Krankenpflegeversicherung (Grundversicherung)? Prüfung anhand der Belege bzw. der Versicherungsausweise.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Umbuchungsbeleg aus Funktion 580).</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Falldossiers. Fehlermöglichkeiten: Leistungen für Zusatzversicherungen (VVG) oder Kostenbeteiligungen sind enthalten. 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um Personen, die wirtschaftliche Hilfe beziehen und/oder </w:t>
            </w:r>
            <w:proofErr w:type="spellStart"/>
            <w:r w:rsidRPr="002C3605">
              <w:rPr>
                <w:sz w:val="21"/>
                <w:szCs w:val="21"/>
                <w:lang w:val="de-DE"/>
              </w:rPr>
              <w:t>gemäss</w:t>
            </w:r>
            <w:proofErr w:type="spellEnd"/>
            <w:r w:rsidRPr="002C3605">
              <w:rPr>
                <w:sz w:val="21"/>
                <w:szCs w:val="21"/>
                <w:lang w:val="de-DE"/>
              </w:rPr>
              <w:t xml:space="preserve"> Art. 18 Abs. 1 EG KVG 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möglich. Prämienausstände von Personen, welche nicht unter dem Existenzminimum l</w:t>
            </w:r>
            <w:r w:rsidR="008535E4">
              <w:rPr>
                <w:sz w:val="21"/>
                <w:szCs w:val="21"/>
              </w:rPr>
              <w:t xml:space="preserve">eben </w:t>
            </w:r>
            <w:r w:rsidRPr="002C3605">
              <w:rPr>
                <w:sz w:val="21"/>
                <w:szCs w:val="21"/>
              </w:rPr>
              <w:t xml:space="preserve">sind nicht anrechenbar. </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Es dürfen weiter keine Prämien von Fällen mit freiwilliger wirtschaftlicher Hilfe enthalten sein. </w:t>
            </w:r>
          </w:p>
          <w:p w:rsidR="002427F0" w:rsidRPr="002C3605" w:rsidRDefault="002427F0" w:rsidP="002014CB">
            <w:pPr>
              <w:pStyle w:val="Text"/>
              <w:tabs>
                <w:tab w:val="clear" w:pos="851"/>
                <w:tab w:val="clear" w:pos="7938"/>
              </w:tabs>
              <w:ind w:left="0"/>
              <w:jc w:val="left"/>
              <w:rPr>
                <w:sz w:val="21"/>
                <w:szCs w:val="21"/>
              </w:rPr>
            </w:pPr>
          </w:p>
          <w:p w:rsidR="002427F0" w:rsidRPr="002C3605" w:rsidRDefault="002427F0" w:rsidP="00FE2D87">
            <w:pPr>
              <w:pStyle w:val="Text"/>
              <w:tabs>
                <w:tab w:val="clear" w:pos="851"/>
                <w:tab w:val="clear" w:pos="7938"/>
              </w:tabs>
              <w:ind w:left="0"/>
              <w:jc w:val="left"/>
              <w:rPr>
                <w:sz w:val="21"/>
                <w:szCs w:val="21"/>
              </w:rPr>
            </w:pPr>
            <w:r w:rsidRPr="002C3605">
              <w:rPr>
                <w:sz w:val="21"/>
                <w:szCs w:val="21"/>
              </w:rPr>
              <w:t xml:space="preserve">Vgl. auch spezielle Prüfhandlung bezüglich Prämienausstände, die vor Sozialhilfebezug entstanden sind.  -&gt; Prüfung Nr. </w:t>
            </w:r>
            <w:r w:rsidR="00305CD4">
              <w:rPr>
                <w:sz w:val="21"/>
                <w:szCs w:val="21"/>
              </w:rPr>
              <w:t>21</w:t>
            </w:r>
            <w:r w:rsidR="00FE2D87">
              <w:rPr>
                <w:sz w:val="21"/>
                <w:szCs w:val="21"/>
              </w:rPr>
              <w:t>5</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520 Krankenversicherung verbucht (Ausscheidung aus Funktion 580 „Gesetzliche wirtschaftliche Hilfe“)?</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18 Abs. 1 EG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Kontendetails (oder Umbuchungsbeleg) oder anhand der Budgetberechnungen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Prämienverbilligungen nicht doppelt, sowohl in der Meldung der Prämienübernahmen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AF6AF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ezüger. Bei Doppelerfassung: Personen ab dem Zeitpunkt der Gewährung von Ergänzungsleistungen nur noch mit Pauschale in der Abrechnung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r>
        <w:br w:type="page"/>
      </w:r>
    </w:p>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lastRenderedPageBreak/>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w:t>
            </w:r>
            <w:proofErr w:type="spellStart"/>
            <w:r w:rsidRPr="002C3605">
              <w:rPr>
                <w:sz w:val="21"/>
                <w:szCs w:val="21"/>
                <w:lang w:val="de-DE"/>
              </w:rPr>
              <w:t>grösseren</w:t>
            </w:r>
            <w:proofErr w:type="spellEnd"/>
            <w:r w:rsidRPr="002C3605">
              <w:rPr>
                <w:sz w:val="21"/>
                <w:szCs w:val="21"/>
                <w:lang w:val="de-DE"/>
              </w:rPr>
              <w:t xml:space="preserve"> Zahlungen (z.B. Krankentaggelder) an das Sozialamt der entsprechende KVG-Aufwand inkl. Vorjahre verrechnet und als Rückerstattung auf dem Konto 520.4360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580 auf allfällige Rentennachzahlungen oder Versicherungsleistungen (z.B. IV-, EL, BU/NBU-Leistungen etc.) überprüfen. Geprüfte Fälle markieren. Fehler sind zu korrigieren.</w:t>
            </w:r>
          </w:p>
          <w:p w:rsidR="002014CB" w:rsidRPr="002C3605" w:rsidRDefault="002014CB" w:rsidP="00FE2D87">
            <w:pPr>
              <w:pStyle w:val="Text"/>
              <w:tabs>
                <w:tab w:val="clear" w:pos="851"/>
                <w:tab w:val="clear" w:pos="7938"/>
              </w:tabs>
              <w:spacing w:after="60"/>
              <w:ind w:left="0"/>
              <w:jc w:val="left"/>
              <w:rPr>
                <w:sz w:val="21"/>
                <w:szCs w:val="21"/>
              </w:rPr>
            </w:pPr>
            <w:r w:rsidRPr="002C3605">
              <w:rPr>
                <w:sz w:val="21"/>
                <w:szCs w:val="21"/>
                <w:lang w:val="de-DE"/>
              </w:rPr>
              <w:t xml:space="preserve">Vgl. </w:t>
            </w:r>
            <w:r w:rsidR="00FE2D87">
              <w:rPr>
                <w:sz w:val="21"/>
                <w:szCs w:val="21"/>
                <w:lang w:val="de-DE"/>
              </w:rPr>
              <w:t>z</w:t>
            </w:r>
            <w:r w:rsidRPr="002C3605">
              <w:rPr>
                <w:sz w:val="21"/>
                <w:szCs w:val="21"/>
                <w:lang w:val="de-DE"/>
              </w:rPr>
              <w:t>usätzliche Prüfhandlung bei EL-Rentennachzahlungen -&gt; Nr. 211</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 xml:space="preserve">Rentennachzahlungen / EL-Bereich </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FE2D87">
            <w:pPr>
              <w:pStyle w:val="Text"/>
              <w:tabs>
                <w:tab w:val="clear" w:pos="851"/>
              </w:tabs>
              <w:ind w:left="0"/>
              <w:rPr>
                <w:sz w:val="21"/>
                <w:szCs w:val="21"/>
              </w:rPr>
            </w:pPr>
            <w:r w:rsidRPr="002C3605">
              <w:rPr>
                <w:sz w:val="21"/>
                <w:szCs w:val="21"/>
              </w:rPr>
              <w:t>Prüfung anhand des Geldflusses und der Nachzahlungsverfügungen.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520.4360 zu verbuchen.</w:t>
            </w:r>
          </w:p>
          <w:p w:rsidR="0064476C" w:rsidRPr="002C3605" w:rsidRDefault="00E439FB" w:rsidP="0064476C">
            <w:pPr>
              <w:pStyle w:val="Text"/>
              <w:tabs>
                <w:tab w:val="clear" w:pos="851"/>
                <w:tab w:val="clear" w:pos="7938"/>
              </w:tabs>
              <w:spacing w:after="60"/>
              <w:ind w:left="0"/>
              <w:jc w:val="left"/>
              <w:rPr>
                <w:sz w:val="21"/>
                <w:szCs w:val="21"/>
              </w:rPr>
            </w:pPr>
            <w:r>
              <w:rPr>
                <w:sz w:val="21"/>
                <w:szCs w:val="21"/>
              </w:rPr>
              <w:t>Ist</w:t>
            </w:r>
            <w:r w:rsidR="00135283">
              <w:rPr>
                <w:sz w:val="21"/>
                <w:szCs w:val="21"/>
              </w:rPr>
              <w:t xml:space="preserve"> </w:t>
            </w:r>
            <w:r w:rsidR="00135283" w:rsidRPr="002C3605">
              <w:rPr>
                <w:sz w:val="21"/>
                <w:szCs w:val="21"/>
              </w:rPr>
              <w:t xml:space="preserve">eine Doppelsubvention </w:t>
            </w:r>
            <w:r>
              <w:rPr>
                <w:sz w:val="21"/>
                <w:szCs w:val="21"/>
              </w:rPr>
              <w:t>entstanden</w:t>
            </w:r>
            <w:r w:rsidR="00135283" w:rsidRPr="002C3605">
              <w:rPr>
                <w:sz w:val="21"/>
                <w:szCs w:val="21"/>
              </w:rPr>
              <w:t xml:space="preserve">, weil die Krankenkasse die Abtretungserklärung nicht berücksichtigen </w:t>
            </w:r>
            <w:r w:rsidR="00BD5C63">
              <w:rPr>
                <w:sz w:val="21"/>
                <w:szCs w:val="21"/>
              </w:rPr>
              <w:t>will oder weil die Gemeinde keine Abtretungserklärung eingereicht hat</w:t>
            </w:r>
            <w:r w:rsidR="00135283">
              <w:rPr>
                <w:sz w:val="21"/>
                <w:szCs w:val="21"/>
              </w:rPr>
              <w:t>, ist e</w:t>
            </w:r>
            <w:r w:rsidR="0064476C" w:rsidRPr="002C3605">
              <w:rPr>
                <w:sz w:val="21"/>
                <w:szCs w:val="21"/>
              </w:rPr>
              <w:t xml:space="preserve">ine Geldrückforderung beim Klienten bzw. bei der Klientin </w:t>
            </w:r>
            <w:r>
              <w:rPr>
                <w:sz w:val="21"/>
                <w:szCs w:val="21"/>
              </w:rPr>
              <w:t>erforderlich.</w:t>
            </w:r>
          </w:p>
          <w:p w:rsidR="0064476C" w:rsidRPr="002C3605" w:rsidRDefault="0064476C" w:rsidP="00B458F1">
            <w:pPr>
              <w:pStyle w:val="Text"/>
              <w:tabs>
                <w:tab w:val="clear" w:pos="851"/>
                <w:tab w:val="clear" w:pos="7938"/>
              </w:tabs>
              <w:ind w:left="0"/>
              <w:jc w:val="left"/>
              <w:rPr>
                <w:sz w:val="21"/>
                <w:szCs w:val="21"/>
              </w:rPr>
            </w:pPr>
            <w:r w:rsidRPr="002C3605">
              <w:rPr>
                <w:sz w:val="21"/>
                <w:szCs w:val="21"/>
              </w:rPr>
              <w:t xml:space="preserve">(gleiche Prüfung unter </w:t>
            </w:r>
            <w:r w:rsidR="005979A2" w:rsidRPr="00AE213E">
              <w:rPr>
                <w:sz w:val="21"/>
                <w:szCs w:val="21"/>
              </w:rPr>
              <w:t>Nr.</w:t>
            </w:r>
            <w:r w:rsidRPr="00AE213E">
              <w:rPr>
                <w:sz w:val="21"/>
                <w:szCs w:val="21"/>
              </w:rPr>
              <w:t xml:space="preserve"> 401</w:t>
            </w:r>
            <w:r w:rsidR="00FE2D87" w:rsidRPr="00AE213E">
              <w:rPr>
                <w:sz w:val="21"/>
                <w:szCs w:val="21"/>
              </w:rPr>
              <w:t xml:space="preserve"> und 5</w:t>
            </w:r>
            <w:r w:rsidR="00B458F1" w:rsidRPr="00AE213E">
              <w:rPr>
                <w:sz w:val="21"/>
                <w:szCs w:val="21"/>
              </w:rPr>
              <w:t>07</w:t>
            </w:r>
            <w:r w:rsidR="005979A2" w:rsidRPr="00AE213E">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Default="004C1F68">
      <w:pPr>
        <w:rPr>
          <w:sz w:val="14"/>
          <w:szCs w:val="14"/>
        </w:rPr>
      </w:pPr>
      <w:r>
        <w:rPr>
          <w:sz w:val="14"/>
          <w:szCs w:val="14"/>
        </w:rPr>
        <w:br w:type="page"/>
      </w:r>
    </w:p>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992"/>
        <w:gridCol w:w="2977"/>
        <w:gridCol w:w="2693"/>
      </w:tblGrid>
      <w:tr w:rsidR="0064476C" w:rsidRPr="002C3605" w:rsidTr="00B92E55">
        <w:trPr>
          <w:trHeight w:val="260"/>
        </w:trPr>
        <w:tc>
          <w:tcPr>
            <w:tcW w:w="1951" w:type="dxa"/>
            <w:shd w:val="clear" w:color="auto" w:fill="BFBFBF" w:themeFill="background1" w:themeFillShade="BF"/>
          </w:tcPr>
          <w:p w:rsidR="0064476C" w:rsidRPr="002C3605" w:rsidRDefault="00B92E55" w:rsidP="00996FD3">
            <w:pPr>
              <w:pStyle w:val="GDListenummeriertrmisch"/>
              <w:numPr>
                <w:ilvl w:val="0"/>
                <w:numId w:val="0"/>
              </w:numPr>
              <w:rPr>
                <w:b/>
                <w:szCs w:val="21"/>
              </w:rPr>
            </w:pPr>
            <w:r w:rsidRPr="002C3605">
              <w:rPr>
                <w:b/>
                <w:szCs w:val="21"/>
              </w:rPr>
              <w:t xml:space="preserve">Prüfung Nr. </w:t>
            </w:r>
            <w:r w:rsidR="0064476C" w:rsidRPr="002C3605">
              <w:rPr>
                <w:b/>
                <w:szCs w:val="21"/>
              </w:rPr>
              <w:t>21</w:t>
            </w:r>
            <w:r w:rsidR="00996FD3">
              <w:rPr>
                <w:b/>
                <w:szCs w:val="21"/>
              </w:rPr>
              <w:t>2</w:t>
            </w:r>
          </w:p>
        </w:tc>
        <w:tc>
          <w:tcPr>
            <w:tcW w:w="6662" w:type="dxa"/>
            <w:gridSpan w:val="3"/>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direkt ausbezahlt hat?</w:t>
            </w:r>
          </w:p>
          <w:p w:rsidR="0064476C" w:rsidRPr="002C3605" w:rsidRDefault="0064476C" w:rsidP="005B3D73">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gutgeschrieben oder ausbezahlt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A22AA9">
            <w:pPr>
              <w:pStyle w:val="Text"/>
              <w:tabs>
                <w:tab w:val="clear" w:pos="851"/>
                <w:tab w:val="clear" w:pos="7938"/>
              </w:tabs>
              <w:ind w:left="0"/>
              <w:jc w:val="left"/>
              <w:rPr>
                <w:sz w:val="21"/>
                <w:szCs w:val="21"/>
                <w:lang w:val="de-DE"/>
              </w:rPr>
            </w:pPr>
            <w:r w:rsidRPr="002C3605">
              <w:rPr>
                <w:sz w:val="21"/>
                <w:szCs w:val="21"/>
              </w:rPr>
              <w:t>Prüfen anhand der Versicherungsausweise und der aktuellsten Liste „IPV-Auszahlungsstatistik“ der SVA, ob rückwirkend ausgerichtete IPV korrigiert worden sind (inkl. wenn nötig, Rückerstattungsforderung</w:t>
            </w:r>
            <w:r w:rsidR="00AE702D">
              <w:rPr>
                <w:sz w:val="21"/>
                <w:szCs w:val="21"/>
              </w:rPr>
              <w:t xml:space="preserve"> gegenüber dem Klient bzw</w:t>
            </w:r>
            <w:r w:rsidR="00A22AA9">
              <w:rPr>
                <w:sz w:val="21"/>
                <w:szCs w:val="21"/>
              </w:rPr>
              <w:t>. der Klientin</w:t>
            </w:r>
            <w:r w:rsidRPr="002C3605">
              <w:rPr>
                <w:sz w:val="21"/>
                <w:szCs w:val="21"/>
              </w:rPr>
              <w:t xml:space="preserve">) </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110831205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195639589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36336356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996FD3"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t xml:space="preserve">Prüfung Nr. </w:t>
            </w:r>
            <w:r w:rsidR="00085614" w:rsidRPr="002C3605">
              <w:rPr>
                <w:b/>
                <w:szCs w:val="21"/>
              </w:rPr>
              <w:t>21</w:t>
            </w:r>
            <w:r w:rsidR="00996FD3">
              <w:rPr>
                <w:b/>
                <w:szCs w:val="21"/>
              </w:rPr>
              <w:t>3</w:t>
            </w:r>
          </w:p>
        </w:tc>
        <w:tc>
          <w:tcPr>
            <w:tcW w:w="6662" w:type="dxa"/>
            <w:gridSpan w:val="3"/>
            <w:shd w:val="clear" w:color="auto" w:fill="BFBFBF" w:themeFill="background1" w:themeFillShade="BF"/>
          </w:tcPr>
          <w:p w:rsidR="00085614" w:rsidRPr="00893C50" w:rsidRDefault="00085614" w:rsidP="00850D36">
            <w:pPr>
              <w:rPr>
                <w:szCs w:val="21"/>
                <w:lang w:val="de-DE"/>
              </w:rPr>
            </w:pPr>
            <w:r w:rsidRPr="00893C50">
              <w:rPr>
                <w:szCs w:val="21"/>
                <w:lang w:val="de-DE"/>
              </w:rPr>
              <w:t xml:space="preserve">Wurden Nachzahlungen der IPV für eine Periode vor Sozialhilfebezug als </w:t>
            </w:r>
            <w:r w:rsidR="00850D36">
              <w:rPr>
                <w:szCs w:val="21"/>
                <w:lang w:val="de-DE"/>
              </w:rPr>
              <w:t>Vermögen</w:t>
            </w:r>
            <w:r w:rsidRPr="00893C50">
              <w:rPr>
                <w:szCs w:val="21"/>
                <w:lang w:val="de-DE"/>
              </w:rPr>
              <w:t xml:space="preserve">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Sozialhilfebezug sind bei der sozialhilferechtlichen Bedarfsdeckung als </w:t>
            </w:r>
            <w:r w:rsidR="003F7383">
              <w:rPr>
                <w:sz w:val="21"/>
                <w:szCs w:val="21"/>
              </w:rPr>
              <w:t>Vermögen</w:t>
            </w:r>
            <w:r w:rsidR="006C3FA3" w:rsidRPr="00893C50">
              <w:rPr>
                <w:sz w:val="21"/>
                <w:szCs w:val="21"/>
              </w:rPr>
              <w:t xml:space="preserve"> zu berücksichtigen. </w:t>
            </w:r>
            <w:r w:rsidR="003F7383">
              <w:rPr>
                <w:sz w:val="21"/>
                <w:szCs w:val="21"/>
              </w:rPr>
              <w:t xml:space="preserve">Wird der Vermögensfreibetrag gemäss Sozialhilferecht aufgrund der nachträglichen IPV überschritten, kann dies </w:t>
            </w:r>
            <w:r w:rsidR="006C3FA3" w:rsidRPr="00893C50">
              <w:rPr>
                <w:sz w:val="21"/>
                <w:szCs w:val="21"/>
              </w:rPr>
              <w:t>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w:t>
            </w:r>
            <w:r w:rsidR="003445A8">
              <w:rPr>
                <w:sz w:val="21"/>
                <w:szCs w:val="21"/>
              </w:rPr>
              <w:t>,</w:t>
            </w:r>
            <w:r w:rsidR="006C3FA3" w:rsidRPr="00893C50">
              <w:rPr>
                <w:sz w:val="21"/>
                <w:szCs w:val="21"/>
              </w:rPr>
              <w:t xml:space="preserve"> </w:t>
            </w:r>
            <w:r w:rsidR="003F7383">
              <w:rPr>
                <w:sz w:val="21"/>
                <w:szCs w:val="21"/>
              </w:rPr>
              <w:t>unter Berücksichtigung des Vermögensfreibetrag</w:t>
            </w:r>
            <w:r w:rsidR="00850D36">
              <w:rPr>
                <w:sz w:val="21"/>
                <w:szCs w:val="21"/>
              </w:rPr>
              <w:t>es</w:t>
            </w:r>
            <w:r w:rsidR="003445A8">
              <w:rPr>
                <w:sz w:val="21"/>
                <w:szCs w:val="21"/>
              </w:rPr>
              <w:t>,</w:t>
            </w:r>
            <w:r w:rsidR="003F7383">
              <w:rPr>
                <w:sz w:val="21"/>
                <w:szCs w:val="21"/>
              </w:rPr>
              <w:t xml:space="preserve"> </w:t>
            </w:r>
            <w:r w:rsidR="006C3FA3" w:rsidRPr="00893C50">
              <w:rPr>
                <w:sz w:val="21"/>
                <w:szCs w:val="21"/>
              </w:rPr>
              <w:t>angerechnet wurden.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Praxisänderung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2C3605"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996FD3">
            <w:pPr>
              <w:pStyle w:val="GDListenummeriertrmisch"/>
              <w:numPr>
                <w:ilvl w:val="0"/>
                <w:numId w:val="0"/>
              </w:numPr>
              <w:rPr>
                <w:b/>
                <w:szCs w:val="21"/>
              </w:rPr>
            </w:pPr>
            <w:r w:rsidRPr="002C3605">
              <w:rPr>
                <w:b/>
                <w:szCs w:val="21"/>
              </w:rPr>
              <w:t xml:space="preserve">Prüfung Nr. </w:t>
            </w:r>
            <w:r w:rsidR="006C3FA3" w:rsidRPr="002C3605">
              <w:rPr>
                <w:b/>
                <w:szCs w:val="21"/>
              </w:rPr>
              <w:t>21</w:t>
            </w:r>
            <w:r w:rsidR="00996FD3">
              <w:rPr>
                <w:b/>
                <w:szCs w:val="21"/>
              </w:rPr>
              <w:t>4</w:t>
            </w:r>
          </w:p>
        </w:tc>
        <w:tc>
          <w:tcPr>
            <w:tcW w:w="6662" w:type="dxa"/>
            <w:gridSpan w:val="3"/>
            <w:shd w:val="clear" w:color="auto" w:fill="BFBFBF" w:themeFill="background1" w:themeFillShade="BF"/>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lang w:val="de-DE"/>
              </w:rPr>
              <w:t>Lohn-/Rentenverwaltung: Stellt der Buchhaltungsprozess sicher, dass bei Klienten, deren Einkommen bzw. Vermögen nur verwaltet wird und welche die Laufende Rechnung grundsätzlich nicht belasten,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2189.xx 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AA0D06"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AA0D06"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AA0D06"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5</w:t>
            </w:r>
          </w:p>
        </w:tc>
        <w:tc>
          <w:tcPr>
            <w:tcW w:w="6662" w:type="dxa"/>
            <w:gridSpan w:val="3"/>
            <w:shd w:val="clear" w:color="auto" w:fill="BFBFBF" w:themeFill="background1" w:themeFillShade="BF"/>
          </w:tcPr>
          <w:p w:rsidR="006C3FA3" w:rsidRPr="00E8561E" w:rsidRDefault="006C3FA3" w:rsidP="00BB7CBB">
            <w:pPr>
              <w:pStyle w:val="Text"/>
              <w:tabs>
                <w:tab w:val="clear" w:pos="851"/>
                <w:tab w:val="clear" w:pos="7938"/>
              </w:tabs>
              <w:ind w:left="0"/>
              <w:jc w:val="left"/>
              <w:rPr>
                <w:sz w:val="21"/>
                <w:szCs w:val="21"/>
                <w:lang w:val="de-DE"/>
              </w:rPr>
            </w:pPr>
            <w:r w:rsidRPr="00E8561E">
              <w:rPr>
                <w:sz w:val="21"/>
                <w:szCs w:val="21"/>
                <w:lang w:val="de-DE"/>
              </w:rPr>
              <w:t>Übernahme alter Prämienausstände: Wird die Möglichkeit zur Übernahme von alten Prämienausständen für Sozialhilfeziehende, welche vor dem Sozialhilfebezug über dem Existenzminimum lebten, richtig umgesetzt</w:t>
            </w:r>
            <w:r w:rsidRPr="00AE213E">
              <w:rPr>
                <w:sz w:val="21"/>
                <w:szCs w:val="21"/>
                <w:lang w:val="de-DE"/>
              </w:rPr>
              <w:t>? (vgl. Punkt 3.3 des</w:t>
            </w:r>
            <w:r w:rsidRPr="00E8561E">
              <w:rPr>
                <w:sz w:val="21"/>
                <w:szCs w:val="21"/>
                <w:lang w:val="de-DE"/>
              </w:rPr>
              <w:t xml:space="preserve">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D45E0A">
            <w:pPr>
              <w:pStyle w:val="Text"/>
              <w:tabs>
                <w:tab w:val="clear" w:pos="851"/>
                <w:tab w:val="clear" w:pos="7938"/>
              </w:tabs>
              <w:ind w:left="0"/>
              <w:jc w:val="left"/>
              <w:rPr>
                <w:sz w:val="21"/>
                <w:szCs w:val="21"/>
              </w:rPr>
            </w:pPr>
            <w:r w:rsidRPr="00E8561E">
              <w:rPr>
                <w:sz w:val="21"/>
                <w:szCs w:val="21"/>
              </w:rPr>
              <w:t xml:space="preserve">Alte Prämienausstände von neuen Sozialhilfebeziehenden können übernommen werden, auch wenn die Personen vor dem Sozialhilfebezug </w:t>
            </w:r>
            <w:r w:rsidRPr="00E8561E">
              <w:rPr>
                <w:b/>
                <w:sz w:val="21"/>
                <w:szCs w:val="21"/>
              </w:rPr>
              <w:t>über</w:t>
            </w:r>
            <w:r w:rsidRPr="00E8561E">
              <w:rPr>
                <w:sz w:val="21"/>
                <w:szCs w:val="21"/>
              </w:rPr>
              <w:t xml:space="preserve"> dem Existenzminimum lebten, es sei denn für diese alten Prämienausstände eine Betreibung bereits eingeleitet worden ist. </w:t>
            </w:r>
            <w:r w:rsidRPr="00BB7CBB">
              <w:rPr>
                <w:sz w:val="21"/>
                <w:szCs w:val="21"/>
              </w:rPr>
              <w:t xml:space="preserve">Letztere Einschränkung gilt nicht für die Übernahme von alten Prämienausständen, wenn die Person vor dem Sozialhilfebezug </w:t>
            </w:r>
            <w:r w:rsidRPr="00BB7CBB">
              <w:rPr>
                <w:b/>
                <w:sz w:val="21"/>
                <w:szCs w:val="21"/>
              </w:rPr>
              <w:t>unter</w:t>
            </w:r>
            <w:r w:rsidRPr="00BB7CBB">
              <w:rPr>
                <w:sz w:val="21"/>
                <w:szCs w:val="21"/>
              </w:rPr>
              <w:t xml:space="preserve"> dem Existenzminimum lebte. Bei Personen, die vor </w:t>
            </w:r>
            <w:proofErr w:type="spellStart"/>
            <w:proofErr w:type="gramStart"/>
            <w:r w:rsidRPr="00BB7CBB">
              <w:rPr>
                <w:sz w:val="21"/>
                <w:szCs w:val="21"/>
              </w:rPr>
              <w:t>Soziahilfebezug</w:t>
            </w:r>
            <w:proofErr w:type="spellEnd"/>
            <w:r w:rsidRPr="00BB7CBB">
              <w:rPr>
                <w:sz w:val="21"/>
                <w:szCs w:val="21"/>
              </w:rPr>
              <w:t xml:space="preserve">  über</w:t>
            </w:r>
            <w:proofErr w:type="gramEnd"/>
            <w:r w:rsidRPr="00BB7CBB">
              <w:rPr>
                <w:sz w:val="21"/>
                <w:szCs w:val="21"/>
              </w:rPr>
              <w:t xml:space="preserve"> dem Existenzminimum lebten wird jedoch </w:t>
            </w:r>
            <w:r w:rsidR="00C87627">
              <w:rPr>
                <w:sz w:val="21"/>
                <w:szCs w:val="21"/>
              </w:rPr>
              <w:t xml:space="preserve">u.U. </w:t>
            </w:r>
            <w:r w:rsidR="00093E72">
              <w:rPr>
                <w:sz w:val="21"/>
                <w:szCs w:val="21"/>
              </w:rPr>
              <w:t xml:space="preserve">(z.B. bei Klienten, die vorsehbar über eine längere Zeit zu unterstützen </w:t>
            </w:r>
            <w:r w:rsidR="00D45E0A">
              <w:rPr>
                <w:sz w:val="21"/>
                <w:szCs w:val="21"/>
              </w:rPr>
              <w:t>sein werden</w:t>
            </w:r>
            <w:r w:rsidR="00093E72">
              <w:rPr>
                <w:sz w:val="21"/>
                <w:szCs w:val="21"/>
              </w:rPr>
              <w:t xml:space="preserve">) </w:t>
            </w:r>
            <w:r w:rsidRPr="00BB7CBB">
              <w:rPr>
                <w:sz w:val="21"/>
                <w:szCs w:val="21"/>
              </w:rPr>
              <w:t>folgende Ausnahme toleriert: Die Begleichung von betriebenen Prämienausständen ermöglicht einen Wechsel in eine günstigere Krankenkasse</w:t>
            </w:r>
            <w:r w:rsidR="00C87627">
              <w:rPr>
                <w:sz w:val="21"/>
                <w:szCs w:val="21"/>
              </w:rPr>
              <w:t>,</w:t>
            </w:r>
            <w:r w:rsidR="00093E72">
              <w:rPr>
                <w:sz w:val="21"/>
                <w:szCs w:val="21"/>
              </w:rPr>
              <w:t xml:space="preserve"> was die öffentliche Hand finanziell insgesamt entlasten sollte</w:t>
            </w:r>
            <w:r w:rsidRPr="00BB7CBB">
              <w:rPr>
                <w:sz w:val="21"/>
                <w:szCs w:val="21"/>
              </w:rPr>
              <w:t xml:space="preserve">. </w:t>
            </w: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2C3605" w:rsidRPr="00E8561E" w:rsidRDefault="00AA0D06"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t>
            </w:r>
            <w:proofErr w:type="spellStart"/>
            <w:r w:rsidR="002C3605" w:rsidRPr="00E8561E">
              <w:rPr>
                <w:szCs w:val="21"/>
              </w:rPr>
              <w:t>i.O</w:t>
            </w:r>
            <w:proofErr w:type="spellEnd"/>
            <w:r w:rsidR="002C3605" w:rsidRPr="00E8561E">
              <w:rPr>
                <w:szCs w:val="21"/>
              </w:rPr>
              <w:t>.</w:t>
            </w:r>
          </w:p>
        </w:tc>
        <w:tc>
          <w:tcPr>
            <w:tcW w:w="2977" w:type="dxa"/>
            <w:shd w:val="clear" w:color="auto" w:fill="BFBFBF" w:themeFill="background1" w:themeFillShade="BF"/>
          </w:tcPr>
          <w:p w:rsidR="002C3605" w:rsidRPr="00E8561E" w:rsidRDefault="00AA0D06"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wesentliche Feststellungen Korrekturbeträge sind in der Beilage 1 erfasst</w:t>
            </w:r>
          </w:p>
        </w:tc>
        <w:tc>
          <w:tcPr>
            <w:tcW w:w="2693" w:type="dxa"/>
            <w:shd w:val="clear" w:color="auto" w:fill="BFBFBF" w:themeFill="background1" w:themeFillShade="BF"/>
          </w:tcPr>
          <w:p w:rsidR="002C3605" w:rsidRPr="00E8561E" w:rsidRDefault="00AA0D06"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wesentliche Feststellungen (ohne Korrekturbetrag)*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6</w:t>
            </w:r>
          </w:p>
        </w:tc>
        <w:tc>
          <w:tcPr>
            <w:tcW w:w="6662" w:type="dxa"/>
            <w:gridSpan w:val="3"/>
            <w:shd w:val="clear" w:color="auto" w:fill="BFBFBF" w:themeFill="background1" w:themeFillShade="BF"/>
          </w:tcPr>
          <w:p w:rsidR="006C3FA3" w:rsidRPr="00E8561E" w:rsidRDefault="00BB7CBB" w:rsidP="003D18E8">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Vorgabe der Direktzahlung durch die Gemeinde an die Krankenkassen flächendeckend umgesetzt? (vgl. </w:t>
            </w:r>
            <w:r w:rsidR="006C3FA3" w:rsidRPr="00AE213E">
              <w:rPr>
                <w:sz w:val="21"/>
                <w:szCs w:val="21"/>
                <w:lang w:val="de-DE"/>
              </w:rPr>
              <w:t>Punkt 3.5</w:t>
            </w:r>
            <w:r w:rsidR="006C3FA3" w:rsidRPr="00E8561E">
              <w:rPr>
                <w:sz w:val="21"/>
                <w:szCs w:val="21"/>
                <w:lang w:val="de-DE"/>
              </w:rPr>
              <w:t xml:space="preserve"> des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Wurden Prämien </w:t>
            </w:r>
            <w:r w:rsidR="003D18E8">
              <w:rPr>
                <w:sz w:val="21"/>
                <w:szCs w:val="21"/>
              </w:rPr>
              <w:t>201</w:t>
            </w:r>
            <w:r w:rsidR="00996FD3">
              <w:rPr>
                <w:sz w:val="21"/>
                <w:szCs w:val="21"/>
              </w:rPr>
              <w:t>8</w:t>
            </w:r>
            <w:r w:rsidR="003D18E8" w:rsidRPr="00E8561E">
              <w:rPr>
                <w:sz w:val="21"/>
                <w:szCs w:val="21"/>
              </w:rPr>
              <w:t xml:space="preserve"> </w:t>
            </w:r>
            <w:r w:rsidRPr="00E8561E">
              <w:rPr>
                <w:sz w:val="21"/>
                <w:szCs w:val="21"/>
              </w:rPr>
              <w:t>entgegen der gesetzlichen Bestimmung direkt an die Klienten, allgemein, in einzelnen Fällen oder in einzelnen Monaten, ausbezahlt, ist unbedingt zu prüfen, ob dabei Zweckentfremdungen stattgefunden haben. Die Prüfung kann sofort durchgeführt werden, indem die Gemeinde aufgrund der Zahlungsbelege aller betroffenen Klienten dokumentiert, dass die Mittel nicht zweckentfremdet worden sind. Falls eine solche Prüfung nicht möglich ist, hat die Revision</w:t>
            </w:r>
            <w:r w:rsidR="00BB7CBB">
              <w:rPr>
                <w:sz w:val="21"/>
                <w:szCs w:val="21"/>
              </w:rPr>
              <w:t>sstelle im Bericht festzuhalten</w:t>
            </w:r>
            <w:r w:rsidRPr="00E8561E">
              <w:rPr>
                <w:sz w:val="21"/>
                <w:szCs w:val="21"/>
              </w:rPr>
              <w:t xml:space="preserve">, dass eine nachgelagerte Prüfung in den nächsten Jahren aufgrund der Auswertung der Verlustscheine </w:t>
            </w:r>
            <w:r w:rsidR="003D18E8">
              <w:rPr>
                <w:sz w:val="21"/>
                <w:szCs w:val="21"/>
              </w:rPr>
              <w:t>201</w:t>
            </w:r>
            <w:r w:rsidR="00996FD3">
              <w:rPr>
                <w:sz w:val="21"/>
                <w:szCs w:val="21"/>
              </w:rPr>
              <w:t>8</w:t>
            </w:r>
            <w:r w:rsidRPr="00E8561E">
              <w:rPr>
                <w:sz w:val="21"/>
                <w:szCs w:val="21"/>
              </w:rPr>
              <w:t xml:space="preserve">, </w:t>
            </w:r>
            <w:r w:rsidR="003D18E8">
              <w:rPr>
                <w:sz w:val="21"/>
                <w:szCs w:val="21"/>
              </w:rPr>
              <w:t>201</w:t>
            </w:r>
            <w:r w:rsidR="00996FD3">
              <w:rPr>
                <w:sz w:val="21"/>
                <w:szCs w:val="21"/>
              </w:rPr>
              <w:t>9</w:t>
            </w:r>
            <w:r w:rsidR="003D18E8" w:rsidRPr="00E8561E">
              <w:rPr>
                <w:sz w:val="21"/>
                <w:szCs w:val="21"/>
              </w:rPr>
              <w:t xml:space="preserve"> </w:t>
            </w:r>
            <w:r w:rsidRPr="00E8561E">
              <w:rPr>
                <w:sz w:val="21"/>
                <w:szCs w:val="21"/>
              </w:rPr>
              <w:t xml:space="preserve">und </w:t>
            </w:r>
            <w:r w:rsidR="003D18E8">
              <w:rPr>
                <w:sz w:val="21"/>
                <w:szCs w:val="21"/>
              </w:rPr>
              <w:t>20</w:t>
            </w:r>
            <w:r w:rsidR="00996FD3">
              <w:rPr>
                <w:sz w:val="21"/>
                <w:szCs w:val="21"/>
              </w:rPr>
              <w:t>20</w:t>
            </w:r>
            <w:r w:rsidR="003D18E8" w:rsidRPr="00E8561E">
              <w:rPr>
                <w:sz w:val="21"/>
                <w:szCs w:val="21"/>
              </w:rPr>
              <w:t xml:space="preserve"> </w:t>
            </w:r>
            <w:r w:rsidRPr="00E8561E">
              <w:rPr>
                <w:sz w:val="21"/>
                <w:szCs w:val="21"/>
              </w:rPr>
              <w:t>noch durchgeführt werden muss. Wurden Prämienausstände infolge der Zweckentfremdung durch die Gemeinde übernommen (z.B. um einen Verlustschein zu verhindern), darf dieser Betrag nicht ein zweites Mal mit der Gesundheitsdirektion abgerechnet werden.</w:t>
            </w:r>
          </w:p>
          <w:p w:rsidR="006C3FA3" w:rsidRPr="00E8561E" w:rsidRDefault="006C3FA3" w:rsidP="00996FD3">
            <w:pPr>
              <w:pStyle w:val="Text"/>
              <w:tabs>
                <w:tab w:val="clear" w:pos="851"/>
                <w:tab w:val="clear" w:pos="7938"/>
              </w:tabs>
              <w:ind w:left="0"/>
              <w:jc w:val="left"/>
              <w:rPr>
                <w:sz w:val="21"/>
                <w:szCs w:val="21"/>
              </w:rPr>
            </w:pPr>
            <w:r w:rsidRPr="00E8561E">
              <w:rPr>
                <w:sz w:val="21"/>
                <w:szCs w:val="21"/>
              </w:rPr>
              <w:lastRenderedPageBreak/>
              <w:t xml:space="preserve">Wurde im Rahmen der KVG-Revision </w:t>
            </w:r>
            <w:r w:rsidR="003D18E8">
              <w:rPr>
                <w:sz w:val="21"/>
                <w:szCs w:val="21"/>
              </w:rPr>
              <w:t xml:space="preserve">der Abrechnung </w:t>
            </w:r>
            <w:r w:rsidR="009675C9">
              <w:rPr>
                <w:sz w:val="21"/>
                <w:szCs w:val="21"/>
              </w:rPr>
              <w:t xml:space="preserve"> 2</w:t>
            </w:r>
            <w:r w:rsidR="003D18E8">
              <w:rPr>
                <w:sz w:val="21"/>
                <w:szCs w:val="21"/>
              </w:rPr>
              <w:t>015</w:t>
            </w:r>
            <w:r w:rsidR="00996FD3">
              <w:rPr>
                <w:sz w:val="21"/>
                <w:szCs w:val="21"/>
              </w:rPr>
              <w:t>, 2016</w:t>
            </w:r>
            <w:r w:rsidRPr="00E8561E">
              <w:rPr>
                <w:sz w:val="21"/>
                <w:szCs w:val="21"/>
              </w:rPr>
              <w:t xml:space="preserve"> </w:t>
            </w:r>
            <w:r w:rsidR="009675C9">
              <w:rPr>
                <w:sz w:val="21"/>
                <w:szCs w:val="21"/>
              </w:rPr>
              <w:t>und/oder 201</w:t>
            </w:r>
            <w:r w:rsidR="00996FD3">
              <w:rPr>
                <w:sz w:val="21"/>
                <w:szCs w:val="21"/>
              </w:rPr>
              <w:t>7</w:t>
            </w:r>
            <w:r w:rsidR="009675C9">
              <w:rPr>
                <w:sz w:val="21"/>
                <w:szCs w:val="21"/>
              </w:rPr>
              <w:t xml:space="preserve"> </w:t>
            </w:r>
            <w:r w:rsidRPr="00E8561E">
              <w:rPr>
                <w:sz w:val="21"/>
                <w:szCs w:val="21"/>
              </w:rPr>
              <w:t xml:space="preserve">festgestellt, dass die Vorgabe der Direktzahlung nicht flächendecken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w:t>
            </w:r>
            <w:r w:rsidR="003D18E8">
              <w:rPr>
                <w:sz w:val="21"/>
                <w:szCs w:val="21"/>
              </w:rPr>
              <w:t>201</w:t>
            </w:r>
            <w:r w:rsidR="00996FD3">
              <w:rPr>
                <w:sz w:val="21"/>
                <w:szCs w:val="21"/>
              </w:rPr>
              <w:t>7</w:t>
            </w:r>
            <w:r w:rsidR="003D18E8" w:rsidRPr="00E8561E">
              <w:rPr>
                <w:sz w:val="21"/>
                <w:szCs w:val="21"/>
              </w:rPr>
              <w:t xml:space="preserve"> </w:t>
            </w:r>
            <w:r w:rsidRPr="00E8561E">
              <w:rPr>
                <w:sz w:val="21"/>
                <w:szCs w:val="21"/>
              </w:rPr>
              <w:t>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AA0D06"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AA0D06"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AA0D06"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7</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Direktzahlung an die Krankenkasse: Ist es gewährleistet, dass Ausstände für laufende Prämien spätestens beim Vorliegen einer Betreibungsanzeige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Die Gesundheitsdirektion hat allgemein empfohlen, die Adresse der Prämienrechnung auf die Gemeindeadresse zu mutieren, damit die Rechnung immer rechtzeitig vorliegt. Ein abweichendes Verfahren wie z.B. die Rechnungszustellung durch Sozialhilfeklienten und –</w:t>
            </w:r>
            <w:proofErr w:type="spellStart"/>
            <w:r w:rsidRPr="00E8561E">
              <w:rPr>
                <w:sz w:val="21"/>
                <w:szCs w:val="21"/>
              </w:rPr>
              <w:t>klientinnen</w:t>
            </w:r>
            <w:proofErr w:type="spellEnd"/>
            <w:r w:rsidRPr="00E8561E">
              <w:rPr>
                <w:sz w:val="21"/>
                <w:szCs w:val="21"/>
              </w:rPr>
              <w:t xml:space="preserve">, kann dazu führen, dass Rechnungen nicht rechtzeitig vorliegen und unter Umständen dadurch unnötige Mahnungskosten entstehen oder sogar Betreibungen eingeleitet werden. In solchen Fällen sind Korrekturmassnahmen zu treffen </w:t>
            </w:r>
            <w:r w:rsidRPr="00AE213E">
              <w:rPr>
                <w:sz w:val="21"/>
                <w:szCs w:val="21"/>
              </w:rPr>
              <w:t xml:space="preserve">(vgl. Punkt </w:t>
            </w:r>
            <w:r w:rsidR="002E4954" w:rsidRPr="00AE213E">
              <w:rPr>
                <w:sz w:val="21"/>
                <w:szCs w:val="21"/>
              </w:rPr>
              <w:t xml:space="preserve">3.5 und </w:t>
            </w:r>
            <w:r w:rsidRPr="00AE213E">
              <w:rPr>
                <w:sz w:val="21"/>
                <w:szCs w:val="21"/>
              </w:rPr>
              <w:t>3.6 des</w:t>
            </w:r>
            <w:r w:rsidRPr="00E8561E">
              <w:rPr>
                <w:sz w:val="21"/>
                <w:szCs w:val="21"/>
              </w:rPr>
              <w:t xml:space="preserve"> Leitfadens). Falls die Gemeinde keine geeigneten Massnahmen zur Verhinderung von verspäteten Auszahlungen der Prämienrechnungen trifft, kann die Revisionsstelle die gemeldeten, vermeidbaren Bearbeitungs- und Mahnkosten in Abzug bringen</w:t>
            </w:r>
            <w:r w:rsidR="002E4954">
              <w:rPr>
                <w:sz w:val="21"/>
                <w:szCs w:val="21"/>
              </w:rPr>
              <w:t>.</w:t>
            </w:r>
          </w:p>
          <w:p w:rsidR="006C3FA3" w:rsidRPr="00E8561E" w:rsidRDefault="006C3FA3" w:rsidP="009C3124">
            <w:pPr>
              <w:pStyle w:val="Text"/>
              <w:tabs>
                <w:tab w:val="clear" w:pos="851"/>
                <w:tab w:val="clear" w:pos="7938"/>
              </w:tabs>
              <w:ind w:left="0"/>
              <w:jc w:val="left"/>
              <w:rPr>
                <w:sz w:val="21"/>
                <w:szCs w:val="21"/>
              </w:rPr>
            </w:pPr>
            <w:r w:rsidRPr="00E8561E">
              <w:rPr>
                <w:sz w:val="21"/>
                <w:szCs w:val="21"/>
              </w:rPr>
              <w:t>Falls die internen Abläufe sogar es in Kauf nehmen, dass ein Verlustschein (und somit eine allfällige Mehrbelastung für den Kanton) entsteht, ist im Revisionsbericht festzuhalten, dass die Revisionsstelle in den nachfolgenden Jahren eine Prüfung aufgrund der nachgelagerten Verlustscheine durchführen wird (vgl. Punkt 3.5. Leitfa</w:t>
            </w:r>
            <w:r w:rsidR="009C3124">
              <w:rPr>
                <w:sz w:val="21"/>
                <w:szCs w:val="21"/>
              </w:rPr>
              <w:t>den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AA0D06"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AA0D06"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AA0D06"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6C3FA3"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8</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xml:space="preserve">: Wurden geeignete </w:t>
            </w:r>
            <w:proofErr w:type="spellStart"/>
            <w:r w:rsidRPr="00F6456E">
              <w:rPr>
                <w:sz w:val="21"/>
                <w:szCs w:val="21"/>
                <w:lang w:val="de-DE"/>
              </w:rPr>
              <w:t>Massnahmen</w:t>
            </w:r>
            <w:proofErr w:type="spellEnd"/>
            <w:r w:rsidRPr="00F6456E">
              <w:rPr>
                <w:sz w:val="21"/>
                <w:szCs w:val="21"/>
                <w:lang w:val="de-DE"/>
              </w:rPr>
              <w:t xml:space="preserve">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F6456E" w:rsidRDefault="006C3FA3" w:rsidP="00F6456E">
            <w:pPr>
              <w:pStyle w:val="Text"/>
              <w:tabs>
                <w:tab w:val="clear" w:pos="851"/>
                <w:tab w:val="clear" w:pos="7938"/>
              </w:tabs>
              <w:ind w:left="0"/>
              <w:jc w:val="left"/>
              <w:rPr>
                <w:sz w:val="21"/>
                <w:szCs w:val="21"/>
              </w:rPr>
            </w:pPr>
            <w:r w:rsidRPr="00F6456E">
              <w:rPr>
                <w:sz w:val="21"/>
                <w:szCs w:val="21"/>
              </w:rPr>
              <w:t xml:space="preserve">Die Gemeinde hat administrative Massnahmen zu treffen, um zu verhindern, dass Bearbeitungs- und Mahnkosten zulasten der Prämienverbilligung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 xml:space="preserve">trifft, kann die Revisionsstelle die gemeldeten, vermeidbaren Bearbeitungs- und Mahnkosten in Abzug bringen.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AA0D06"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AA0D06"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AA0D06"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593EBB" w:rsidRPr="00E8561E" w:rsidRDefault="00593EBB">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w:t>
            </w:r>
            <w:r w:rsidR="00996FD3">
              <w:rPr>
                <w:b/>
                <w:szCs w:val="21"/>
              </w:rPr>
              <w:t>19</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 xml:space="preserve">Koordination Rückerstattung der Prämienübernahme und der wirtschaftlichen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Erbschaften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verbucht?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6C3FA3" w:rsidP="006C3FA3">
            <w:pPr>
              <w:pStyle w:val="Text"/>
              <w:tabs>
                <w:tab w:val="clear" w:pos="851"/>
                <w:tab w:val="clear" w:pos="7938"/>
              </w:tabs>
              <w:spacing w:after="60"/>
              <w:ind w:left="0"/>
              <w:jc w:val="left"/>
              <w:rPr>
                <w:sz w:val="21"/>
                <w:szCs w:val="21"/>
              </w:rPr>
            </w:pPr>
            <w:r w:rsidRPr="002C10DF">
              <w:rPr>
                <w:sz w:val="21"/>
                <w:szCs w:val="21"/>
              </w:rPr>
              <w:t>Gemäss §18 Abs. 3 EG KVG führt eine Erbschaft grundsätzlich zu einer Rückerstattung der im Rahmen der Prämienübernahme bereits bezahlten Grundversicherungsprämie. Die Rückerstattung ist im Umfang der seinerseits bezahlten Prämien auf das Konto 520.4360 zu verbuchen. Auch bei einer Teilrückzahlung der geleisteten Unterstützungen sind die rückerstatteten Gelder auf die zwei Ertragskonten Prämienübernahme und Sozialhilfeleistungen aufzuteilen. Dabei muss di</w:t>
            </w:r>
            <w:r w:rsidR="002C10DF" w:rsidRPr="002C10DF">
              <w:rPr>
                <w:sz w:val="21"/>
                <w:szCs w:val="21"/>
              </w:rPr>
              <w:t xml:space="preserve">e Gemeinde darauf achten, dass </w:t>
            </w:r>
            <w:r w:rsidRPr="002C10DF">
              <w:rPr>
                <w:sz w:val="21"/>
                <w:szCs w:val="21"/>
              </w:rPr>
              <w:t>ein</w:t>
            </w:r>
            <w:r w:rsidR="002C10DF" w:rsidRPr="002C10DF">
              <w:rPr>
                <w:sz w:val="21"/>
                <w:szCs w:val="21"/>
              </w:rPr>
              <w:t xml:space="preserve"> </w:t>
            </w:r>
            <w:r w:rsidRPr="002C10DF">
              <w:rPr>
                <w:sz w:val="21"/>
                <w:szCs w:val="21"/>
              </w:rPr>
              <w:t>allfälliger Anspruch auf IPV gewährleistet wird. (</w:t>
            </w:r>
            <w:r w:rsidRPr="00AE213E">
              <w:rPr>
                <w:sz w:val="21"/>
                <w:szCs w:val="21"/>
              </w:rPr>
              <w:t>vgl. Punkt 3.13.</w:t>
            </w:r>
            <w:r w:rsidRPr="002C10DF">
              <w:rPr>
                <w:sz w:val="21"/>
                <w:szCs w:val="21"/>
              </w:rPr>
              <w:t xml:space="preserve"> des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wirtschaftlichen Hilfe infolge Erbschaft auch die geleisteten Prämienübernahmen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AA0D06"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AA0D06"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AA0D06"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6C3FA3" w:rsidRDefault="006C3FA3" w:rsidP="00486122">
      <w:pPr>
        <w:pStyle w:val="GDListenummeriertrmisch"/>
        <w:numPr>
          <w:ilvl w:val="0"/>
          <w:numId w:val="0"/>
        </w:numPr>
        <w:rPr>
          <w:szCs w:val="21"/>
        </w:rPr>
      </w:pPr>
    </w:p>
    <w:p w:rsidR="006C3FA3" w:rsidRDefault="006C3FA3" w:rsidP="006C3FA3">
      <w:pPr>
        <w:pStyle w:val="GDberschrift3ohneNr"/>
        <w:rPr>
          <w:lang w:val="de-DE"/>
        </w:rPr>
      </w:pPr>
      <w:r>
        <w:rPr>
          <w:lang w:val="de-DE"/>
        </w:rPr>
        <w:t>P</w:t>
      </w:r>
      <w:r w:rsidRPr="00E91D68">
        <w:rPr>
          <w:lang w:val="de-DE"/>
        </w:rPr>
        <w:t xml:space="preserve">rüfungshandlungen im </w:t>
      </w:r>
      <w:r>
        <w:rPr>
          <w:lang w:val="de-DE"/>
        </w:rPr>
        <w:t>Bereich Prämienübernahme aus Verlustscheinen</w:t>
      </w:r>
    </w:p>
    <w:p w:rsidR="006C3FA3" w:rsidRDefault="006C3FA3"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AA0D06"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AA0D06"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AA0D06"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2</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laufenden Rechnung überein Kto. (hälftiger Anteil 520.4365)?</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Verlustscheine (Kto. 520.4365)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AA0D06"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AA0D06"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AA0D06"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AA0D06"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AA0D06"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AA0D06"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Rückforderungen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9675C9">
            <w:pPr>
              <w:pStyle w:val="Text"/>
              <w:tabs>
                <w:tab w:val="clear" w:pos="851"/>
                <w:tab w:val="clear" w:pos="7938"/>
              </w:tabs>
              <w:ind w:left="0"/>
              <w:jc w:val="left"/>
              <w:rPr>
                <w:sz w:val="21"/>
                <w:szCs w:val="21"/>
                <w:lang w:val="de-DE"/>
              </w:rPr>
            </w:pPr>
            <w:r w:rsidRPr="00E8561E">
              <w:rPr>
                <w:sz w:val="21"/>
                <w:szCs w:val="21"/>
              </w:rPr>
              <w:t>Die Forderungen über ausstehende Prämien gehen aufgrund von § 2</w:t>
            </w:r>
            <w:r w:rsidR="00C05793">
              <w:rPr>
                <w:sz w:val="21"/>
                <w:szCs w:val="21"/>
              </w:rPr>
              <w:t>4</w:t>
            </w:r>
            <w:r w:rsidRPr="00E8561E">
              <w:rPr>
                <w:sz w:val="21"/>
                <w:szCs w:val="21"/>
              </w:rPr>
              <w:t xml:space="preserve"> </w:t>
            </w:r>
            <w:r w:rsidR="00C05793">
              <w:rPr>
                <w:sz w:val="21"/>
                <w:szCs w:val="21"/>
              </w:rPr>
              <w:t>V</w:t>
            </w:r>
            <w:r w:rsidRPr="00E8561E">
              <w:rPr>
                <w:sz w:val="21"/>
                <w:szCs w:val="21"/>
              </w:rPr>
              <w:t xml:space="preserve">EG KVG auf die </w:t>
            </w:r>
            <w:r w:rsidR="001E6C17">
              <w:rPr>
                <w:sz w:val="21"/>
                <w:szCs w:val="21"/>
              </w:rPr>
              <w:t>Gemeinde über</w:t>
            </w:r>
            <w:r w:rsidRPr="00E8561E">
              <w:rPr>
                <w:sz w:val="21"/>
                <w:szCs w:val="21"/>
              </w:rPr>
              <w:t>. Die Aushändigung der Originalverlustscheine ist deshalb nicht zwingende Voraussetzung für die Bewirtschaftung. Ein nachträglicher Eingang aus Verlustscheinen ist auf Konto 520.4365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AA0D06"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AA0D06"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AA0D06"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1E6C17">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w:t>
            </w:r>
            <w:r w:rsidR="001E6C17">
              <w:rPr>
                <w:b/>
                <w:szCs w:val="21"/>
              </w:rPr>
              <w:t>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grundsätzlich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AA0D06"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AA0D06"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AA0D06"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 xml:space="preserve">Falls die Gemeinde die Bewirtschaftung der Verlustscheine an eine externe Inkassofirma externalisiert hat: Hat die Gemeinde den </w:t>
            </w:r>
            <w:proofErr w:type="spellStart"/>
            <w:r w:rsidRPr="00E8561E">
              <w:rPr>
                <w:sz w:val="21"/>
                <w:szCs w:val="21"/>
                <w:lang w:val="de-DE"/>
              </w:rPr>
              <w:t>massgebenden</w:t>
            </w:r>
            <w:proofErr w:type="spellEnd"/>
            <w:r w:rsidRPr="00E8561E">
              <w:rPr>
                <w:sz w:val="21"/>
                <w:szCs w:val="21"/>
                <w:lang w:val="de-DE"/>
              </w:rPr>
              <w:t xml:space="preserve">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Erfahrung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AA0D06"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AA0D06"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AA0D06"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0615EE" w:rsidRDefault="000615EE">
      <w:pPr>
        <w:rPr>
          <w:b/>
          <w:color w:val="0076BD"/>
          <w:sz w:val="22"/>
          <w:lang w:val="de-DE" w:eastAsia="de-DE"/>
        </w:rPr>
      </w:pPr>
    </w:p>
    <w:p w:rsidR="002D0BD6" w:rsidRPr="00951351" w:rsidRDefault="002D0BD6" w:rsidP="002D0BD6">
      <w:pPr>
        <w:pStyle w:val="Text"/>
        <w:ind w:left="0"/>
        <w:jc w:val="left"/>
        <w:rPr>
          <w:b/>
          <w:lang w:val="de-DE"/>
        </w:rPr>
      </w:pPr>
      <w:r w:rsidRPr="00951351">
        <w:rPr>
          <w:b/>
          <w:lang w:val="de-DE"/>
        </w:rPr>
        <w:lastRenderedPageBreak/>
        <w:t>Prüfungshandlungen im Bereich EL (Teil übrige Gemeinde</w:t>
      </w:r>
      <w:r w:rsidR="00AF6AF3" w:rsidRPr="00951351">
        <w:rPr>
          <w:b/>
          <w:lang w:val="de-DE"/>
        </w:rPr>
        <w:t xml:space="preserve"> </w:t>
      </w:r>
      <w:r w:rsidRPr="00951351">
        <w:rPr>
          <w:b/>
          <w:lang w:val="de-DE"/>
        </w:rPr>
        <w:t>- ohne ZUSO</w:t>
      </w:r>
      <w:r w:rsidR="00756C03">
        <w:rPr>
          <w:b/>
          <w:lang w:val="de-DE"/>
        </w:rPr>
        <w:t>/</w:t>
      </w:r>
      <w:proofErr w:type="spellStart"/>
      <w:r w:rsidR="00756C03">
        <w:rPr>
          <w:b/>
          <w:lang w:val="de-DE"/>
        </w:rPr>
        <w:t>ZLPro</w:t>
      </w:r>
      <w:proofErr w:type="spellEnd"/>
      <w:r w:rsidRPr="00951351">
        <w:rPr>
          <w:b/>
          <w:lang w:val="de-DE"/>
        </w:rPr>
        <w:t>-Gemeinden)</w:t>
      </w:r>
    </w:p>
    <w:p w:rsidR="002D0BD6" w:rsidRPr="00951351" w:rsidRDefault="00A54B1A" w:rsidP="002D0BD6">
      <w:pPr>
        <w:pStyle w:val="GDFliesstext"/>
        <w:rPr>
          <w:i/>
          <w:lang w:val="de-DE" w:eastAsia="en-US"/>
        </w:rPr>
      </w:pPr>
      <w:r w:rsidRPr="00951351">
        <w:rPr>
          <w:i/>
          <w:lang w:val="de-DE" w:eastAsia="en-US"/>
        </w:rPr>
        <w:t>(Teil für ZUSO</w:t>
      </w:r>
      <w:r w:rsidR="00C72400">
        <w:rPr>
          <w:i/>
          <w:lang w:val="de-DE" w:eastAsia="en-US"/>
        </w:rPr>
        <w:t>/</w:t>
      </w:r>
      <w:proofErr w:type="spellStart"/>
      <w:r w:rsidR="00C72400">
        <w:rPr>
          <w:i/>
          <w:lang w:val="de-DE" w:eastAsia="en-US"/>
        </w:rPr>
        <w:t>ZLPro</w:t>
      </w:r>
      <w:proofErr w:type="spellEnd"/>
      <w:r w:rsidRPr="00951351">
        <w:rPr>
          <w:i/>
          <w:lang w:val="de-DE" w:eastAsia="en-US"/>
        </w:rPr>
        <w:t xml:space="preserve">-Gemeinden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bis 51</w:t>
      </w:r>
      <w:r w:rsidR="00C72400">
        <w:rPr>
          <w:i/>
          <w:lang w:val="de-DE" w:eastAsia="en-US"/>
        </w:rPr>
        <w:t>1</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C15CCD">
            <w:pPr>
              <w:pStyle w:val="Text"/>
              <w:tabs>
                <w:tab w:val="clear" w:pos="851"/>
              </w:tabs>
              <w:spacing w:after="60"/>
              <w:ind w:left="0"/>
              <w:rPr>
                <w:sz w:val="21"/>
                <w:szCs w:val="21"/>
              </w:rPr>
            </w:pPr>
            <w:r w:rsidRPr="00951351">
              <w:rPr>
                <w:sz w:val="21"/>
                <w:szCs w:val="21"/>
              </w:rPr>
              <w:t>Prüfung anhand des Geldflusses und der Nachzahlungsverfügungen.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t>Nachzahlungen von Zusatzleistungen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520.4360 zu verbuchen.</w:t>
            </w:r>
          </w:p>
          <w:p w:rsidR="00E439FB" w:rsidRDefault="00E439FB" w:rsidP="00E439FB">
            <w:pPr>
              <w:pStyle w:val="Text"/>
              <w:tabs>
                <w:tab w:val="clear" w:pos="851"/>
                <w:tab w:val="clear" w:pos="7938"/>
              </w:tabs>
              <w:spacing w:after="60"/>
              <w:ind w:left="0"/>
              <w:jc w:val="left"/>
              <w:rPr>
                <w:sz w:val="21"/>
                <w:szCs w:val="21"/>
              </w:rPr>
            </w:pPr>
          </w:p>
          <w:p w:rsidR="00E439FB" w:rsidRPr="002C3605" w:rsidRDefault="00BD5C63" w:rsidP="00E439FB">
            <w:pPr>
              <w:pStyle w:val="Text"/>
              <w:tabs>
                <w:tab w:val="clear" w:pos="851"/>
                <w:tab w:val="clear" w:pos="7938"/>
              </w:tabs>
              <w:spacing w:after="60"/>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951351">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AA0D06"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AA0D06"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AA0D06"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4"/>
          <w:szCs w:val="14"/>
        </w:rPr>
      </w:pPr>
    </w:p>
    <w:p w:rsidR="000B6D72" w:rsidRPr="00951351" w:rsidRDefault="000B6D7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C15CCD">
            <w:pPr>
              <w:pStyle w:val="Text"/>
              <w:tabs>
                <w:tab w:val="clear" w:pos="851"/>
                <w:tab w:val="clear" w:pos="7938"/>
              </w:tabs>
              <w:ind w:left="0"/>
              <w:jc w:val="left"/>
              <w:rPr>
                <w:sz w:val="21"/>
                <w:szCs w:val="21"/>
                <w:lang w:val="de-DE"/>
              </w:rPr>
            </w:pPr>
            <w:r w:rsidRPr="00951351">
              <w:rPr>
                <w:sz w:val="21"/>
                <w:szCs w:val="21"/>
                <w:lang w:val="de-DE"/>
              </w:rPr>
              <w:t>Sind die Unterlagen vollständig (Abrechnung nach altem Recht EL)?</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B769C">
            <w:pPr>
              <w:pStyle w:val="Text"/>
              <w:tabs>
                <w:tab w:val="clear" w:pos="851"/>
                <w:tab w:val="clear" w:pos="7938"/>
              </w:tabs>
              <w:ind w:left="0"/>
              <w:jc w:val="left"/>
              <w:rPr>
                <w:sz w:val="21"/>
                <w:szCs w:val="21"/>
                <w:lang w:val="de-DE"/>
              </w:rPr>
            </w:pPr>
            <w:r w:rsidRPr="00951351">
              <w:rPr>
                <w:sz w:val="21"/>
                <w:szCs w:val="21"/>
                <w:lang w:val="de-DE"/>
              </w:rPr>
              <w:t xml:space="preserve">Die Gemeinden rechnen die im Jahr </w:t>
            </w:r>
            <w:r w:rsidR="00BF4F17">
              <w:rPr>
                <w:sz w:val="21"/>
                <w:szCs w:val="21"/>
                <w:lang w:val="de-DE"/>
              </w:rPr>
              <w:t>201</w:t>
            </w:r>
            <w:r w:rsidR="000B769C">
              <w:rPr>
                <w:sz w:val="21"/>
                <w:szCs w:val="21"/>
                <w:lang w:val="de-DE"/>
              </w:rPr>
              <w:t>7</w:t>
            </w:r>
            <w:r w:rsidR="00BF4F17" w:rsidRPr="00951351">
              <w:rPr>
                <w:sz w:val="21"/>
                <w:szCs w:val="21"/>
                <w:lang w:val="de-DE"/>
              </w:rPr>
              <w:t xml:space="preserve"> </w:t>
            </w:r>
            <w:r w:rsidRPr="00951351">
              <w:rPr>
                <w:sz w:val="21"/>
                <w:szCs w:val="21"/>
                <w:lang w:val="de-DE"/>
              </w:rPr>
              <w:t>rückwirkend ausgerichteten Prämienverbilligungsanteile für 2013 oder früher mit der Gesundheitsdirektion ab.</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AA0D06"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AA0D06"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AA0D06"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Default="00693653" w:rsidP="00693653">
      <w:pPr>
        <w:rPr>
          <w:sz w:val="14"/>
          <w:szCs w:val="14"/>
        </w:rPr>
      </w:pPr>
    </w:p>
    <w:p w:rsidR="000B6D72" w:rsidRPr="00951351" w:rsidRDefault="000B6D72"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403</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 xml:space="preserve">Sind die Krankenversicherungsprämien </w:t>
            </w:r>
            <w:r w:rsidR="00C15CCD">
              <w:rPr>
                <w:sz w:val="21"/>
                <w:szCs w:val="21"/>
                <w:lang w:val="de-DE"/>
              </w:rPr>
              <w:t xml:space="preserve">nach altem Recht (2013 und älter) </w:t>
            </w:r>
            <w:r w:rsidRPr="00951351">
              <w:rPr>
                <w:sz w:val="21"/>
                <w:szCs w:val="21"/>
                <w:lang w:val="de-DE"/>
              </w:rPr>
              <w:t>aus Funktion 530 (Zusatzleistungen) in Funktion 520 (Krankenversicherung) umgebucht worden?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AA0D06"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AA0D06"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AA0D06"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Pr="00951351" w:rsidRDefault="00E8561E"/>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520.3661/3662/3300/3301 abzüglich 520.4361/4362)?</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Abschreibungen und Erlasse von Rückerstattungsforderungen nach altem Recht (3300/3301) dürfen nur abgerechnet werden, wenn die entsprechenden Rückerstattungsforderungen im laufenden Jahr oder in den Vorjahren in der Funktion 520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AA0D06"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AA0D06"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AA0D06"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B6D72" w:rsidRDefault="000B6D72" w:rsidP="00486122">
      <w:pPr>
        <w:pStyle w:val="GDListenummeriertrmisch"/>
        <w:numPr>
          <w:ilvl w:val="0"/>
          <w:numId w:val="0"/>
        </w:numPr>
        <w:rPr>
          <w:sz w:val="14"/>
          <w:szCs w:val="14"/>
        </w:rPr>
      </w:pPr>
    </w:p>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AA0D06"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AA0D06"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2"/>
          <w:szCs w:val="21"/>
        </w:rPr>
      </w:pPr>
    </w:p>
    <w:p w:rsidR="00902AA0" w:rsidRPr="000B6D72" w:rsidRDefault="00902AA0" w:rsidP="00902AA0">
      <w:pPr>
        <w:rPr>
          <w:sz w:val="12"/>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A54B1A">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6</w:t>
            </w:r>
          </w:p>
        </w:tc>
        <w:tc>
          <w:tcPr>
            <w:tcW w:w="6662" w:type="dxa"/>
            <w:gridSpan w:val="3"/>
            <w:shd w:val="clear" w:color="auto" w:fill="BFBFBF" w:themeFill="background1" w:themeFillShade="BF"/>
          </w:tcPr>
          <w:p w:rsidR="00A54B1A" w:rsidRPr="00951351" w:rsidRDefault="00A54B1A" w:rsidP="0002543D">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2013 oder älter bei der Verbuchung in den Teil Prämienverbilligung (Funktion 520) und den Teil EL (Funktion 530) ausgeschieden</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rPr>
                <w:rFonts w:eastAsia="Calibri" w:cs="Arial"/>
                <w:szCs w:val="21"/>
              </w:rPr>
            </w:pPr>
            <w:r w:rsidRPr="00951351">
              <w:rPr>
                <w:rFonts w:eastAsia="Calibri" w:cs="Arial"/>
                <w:szCs w:val="21"/>
              </w:rPr>
              <w:t xml:space="preserve">Falls die Gemeinde nicht glaubhaft machen kann (z.B. anhand einer kurzen Dokumentation zu konkreten Fällen bzw. eines vorhandenen Prozessbeschriebs), dass die Prämienverbilligungsanteile aus den Rückerstattungsforderungen RDP 2013 oder älter in der Funktion 520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54B1A" w:rsidRPr="00951351" w:rsidRDefault="00A54B1A" w:rsidP="00A54B1A">
            <w:pPr>
              <w:spacing w:after="60"/>
              <w:rPr>
                <w:rFonts w:eastAsia="Calibri" w:cs="Arial"/>
                <w:szCs w:val="21"/>
              </w:rPr>
            </w:pPr>
            <w:r w:rsidRPr="00951351">
              <w:rPr>
                <w:rFonts w:eastAsia="Calibri" w:cs="Arial"/>
                <w:szCs w:val="21"/>
              </w:rPr>
              <w:t xml:space="preserve">Bei der nächsten KVG-Revision (Revision der Abrechnung </w:t>
            </w:r>
            <w:r w:rsidR="003E2807">
              <w:rPr>
                <w:rFonts w:eastAsia="Calibri" w:cs="Arial"/>
                <w:szCs w:val="21"/>
              </w:rPr>
              <w:t>201</w:t>
            </w:r>
            <w:r w:rsidR="000B6D72">
              <w:rPr>
                <w:rFonts w:eastAsia="Calibri" w:cs="Arial"/>
                <w:szCs w:val="21"/>
              </w:rPr>
              <w:t>9</w:t>
            </w:r>
            <w:r w:rsidRPr="00951351">
              <w:rPr>
                <w:rFonts w:eastAsia="Calibri" w:cs="Arial"/>
                <w:szCs w:val="21"/>
              </w:rPr>
              <w:t xml:space="preserve">) muss die Gemeinde gegenüber </w:t>
            </w:r>
            <w:proofErr w:type="gramStart"/>
            <w:r w:rsidRPr="00951351">
              <w:rPr>
                <w:rFonts w:eastAsia="Calibri" w:cs="Arial"/>
                <w:szCs w:val="21"/>
              </w:rPr>
              <w:t xml:space="preserve">der </w:t>
            </w:r>
            <w:r w:rsidR="00DB15C3">
              <w:rPr>
                <w:rFonts w:eastAsia="Calibri" w:cs="Arial"/>
                <w:szCs w:val="21"/>
              </w:rPr>
              <w:t> Revisionsstell</w:t>
            </w:r>
            <w:r w:rsidRPr="00951351">
              <w:rPr>
                <w:rFonts w:eastAsia="Calibri" w:cs="Arial"/>
                <w:szCs w:val="21"/>
              </w:rPr>
              <w:t>e</w:t>
            </w:r>
            <w:proofErr w:type="gramEnd"/>
            <w:r w:rsidRPr="00951351">
              <w:rPr>
                <w:rFonts w:eastAsia="Calibri" w:cs="Arial"/>
                <w:szCs w:val="21"/>
              </w:rPr>
              <w:t xml:space="preserve"> aufgrund einer detaillierten Dokumentation nachweisen, dass</w:t>
            </w:r>
          </w:p>
          <w:p w:rsidR="00A54B1A" w:rsidRPr="00951351" w:rsidRDefault="00A54B1A" w:rsidP="00A54B1A">
            <w:pPr>
              <w:spacing w:after="60"/>
              <w:ind w:left="170" w:hanging="170"/>
              <w:rPr>
                <w:rFonts w:eastAsia="Calibri" w:cs="Arial"/>
                <w:szCs w:val="21"/>
              </w:rPr>
            </w:pPr>
            <w:r w:rsidRPr="00951351">
              <w:rPr>
                <w:rFonts w:eastAsia="Calibri" w:cs="Arial"/>
                <w:szCs w:val="21"/>
              </w:rPr>
              <w:t xml:space="preserve">- die beanstandeten Rückerstattungsforderungen </w:t>
            </w:r>
            <w:r w:rsidR="003E2807">
              <w:rPr>
                <w:rFonts w:eastAsia="Calibri" w:cs="Arial"/>
                <w:szCs w:val="21"/>
              </w:rPr>
              <w:t>201</w:t>
            </w:r>
            <w:r w:rsidR="000B6D72">
              <w:rPr>
                <w:rFonts w:eastAsia="Calibri" w:cs="Arial"/>
                <w:szCs w:val="21"/>
              </w:rPr>
              <w:t>8</w:t>
            </w:r>
            <w:r w:rsidR="003E2807" w:rsidRPr="00951351">
              <w:rPr>
                <w:rFonts w:eastAsia="Calibri" w:cs="Arial"/>
                <w:szCs w:val="21"/>
              </w:rPr>
              <w:t xml:space="preserve"> </w:t>
            </w:r>
            <w:r w:rsidR="00D56E3B" w:rsidRPr="00951351">
              <w:rPr>
                <w:rFonts w:eastAsia="Calibri" w:cs="Arial"/>
                <w:szCs w:val="21"/>
              </w:rPr>
              <w:t xml:space="preserve">bezüglich RDP oder älter </w:t>
            </w:r>
            <w:r w:rsidRPr="00951351">
              <w:rPr>
                <w:rFonts w:eastAsia="Calibri" w:cs="Arial"/>
                <w:szCs w:val="21"/>
              </w:rPr>
              <w:t>keine Prämienverbilligungsanteile enthielten</w:t>
            </w:r>
          </w:p>
          <w:p w:rsidR="00A54B1A" w:rsidRPr="00951351" w:rsidRDefault="00A54B1A" w:rsidP="00A54B1A">
            <w:pPr>
              <w:spacing w:after="60"/>
              <w:rPr>
                <w:rFonts w:eastAsia="Calibri" w:cs="Arial"/>
                <w:szCs w:val="21"/>
              </w:rPr>
            </w:pPr>
            <w:r w:rsidRPr="00951351">
              <w:rPr>
                <w:rFonts w:eastAsia="Calibri" w:cs="Arial"/>
                <w:szCs w:val="21"/>
              </w:rPr>
              <w:t xml:space="preserve">oder </w:t>
            </w:r>
          </w:p>
          <w:p w:rsidR="00A54B1A" w:rsidRPr="00951351" w:rsidRDefault="00A54B1A" w:rsidP="000B6D72">
            <w:pPr>
              <w:ind w:left="170" w:hanging="170"/>
              <w:rPr>
                <w:rFonts w:eastAsia="Calibri" w:cs="Arial"/>
                <w:szCs w:val="21"/>
              </w:rPr>
            </w:pPr>
            <w:r w:rsidRPr="00951351">
              <w:rPr>
                <w:rFonts w:eastAsia="Calibri" w:cs="Arial"/>
                <w:szCs w:val="21"/>
              </w:rPr>
              <w:t xml:space="preserve">- folgende korrigierende Massnahme in der Abrechnung </w:t>
            </w:r>
            <w:r w:rsidR="003E2807">
              <w:rPr>
                <w:rFonts w:eastAsia="Calibri" w:cs="Arial"/>
                <w:szCs w:val="21"/>
              </w:rPr>
              <w:t>201</w:t>
            </w:r>
            <w:r w:rsidR="000B6D72">
              <w:rPr>
                <w:rFonts w:eastAsia="Calibri" w:cs="Arial"/>
                <w:szCs w:val="21"/>
              </w:rPr>
              <w:t>9</w:t>
            </w:r>
            <w:r w:rsidR="003E2807" w:rsidRPr="00951351">
              <w:rPr>
                <w:rFonts w:eastAsia="Calibri" w:cs="Arial"/>
                <w:szCs w:val="21"/>
              </w:rPr>
              <w:t xml:space="preserve"> </w:t>
            </w:r>
            <w:r w:rsidRPr="00951351">
              <w:rPr>
                <w:rFonts w:eastAsia="Calibri" w:cs="Arial"/>
                <w:szCs w:val="21"/>
              </w:rPr>
              <w:t xml:space="preserve">inzwischen erfolgt ist:  Nachträgliche Buchung als Ertrag der in der Abrechnung </w:t>
            </w:r>
            <w:r w:rsidR="003E2807">
              <w:rPr>
                <w:rFonts w:eastAsia="Calibri" w:cs="Arial"/>
                <w:szCs w:val="21"/>
              </w:rPr>
              <w:t>201</w:t>
            </w:r>
            <w:r w:rsidR="000B6D72">
              <w:rPr>
                <w:rFonts w:eastAsia="Calibri" w:cs="Arial"/>
                <w:szCs w:val="21"/>
              </w:rPr>
              <w:t>8</w:t>
            </w:r>
            <w:r w:rsidR="003E2807" w:rsidRPr="00951351">
              <w:rPr>
                <w:rFonts w:eastAsia="Calibri" w:cs="Arial"/>
                <w:szCs w:val="21"/>
              </w:rPr>
              <w:t xml:space="preserve"> </w:t>
            </w:r>
            <w:r w:rsidRPr="00951351">
              <w:rPr>
                <w:rFonts w:eastAsia="Calibri" w:cs="Arial"/>
                <w:szCs w:val="21"/>
              </w:rPr>
              <w:t xml:space="preserve">ausgebliebenen Verbuchungen der Prämienverbilligungsanteile aus den Rückerstattungsforderungen </w:t>
            </w:r>
            <w:r w:rsidR="003E2807">
              <w:rPr>
                <w:rFonts w:eastAsia="Calibri" w:cs="Arial"/>
                <w:szCs w:val="21"/>
              </w:rPr>
              <w:t>201</w:t>
            </w:r>
            <w:r w:rsidR="000B6D72">
              <w:rPr>
                <w:rFonts w:eastAsia="Calibri" w:cs="Arial"/>
                <w:szCs w:val="21"/>
              </w:rPr>
              <w:t>8</w:t>
            </w:r>
            <w:r w:rsidR="003E2807" w:rsidRPr="00951351">
              <w:rPr>
                <w:rFonts w:eastAsia="Calibri" w:cs="Arial"/>
                <w:szCs w:val="21"/>
              </w:rPr>
              <w:t xml:space="preserve"> </w:t>
            </w:r>
            <w:r w:rsidR="00D56E3B" w:rsidRPr="00951351">
              <w:rPr>
                <w:rFonts w:eastAsia="Calibri" w:cs="Arial"/>
                <w:szCs w:val="21"/>
              </w:rPr>
              <w:t>bezüglich RDP 2013 oder früher</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AA0D06" w:rsidP="00551E70">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AA0D06" w:rsidP="00551E70">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4"/>
          <w:szCs w:val="14"/>
        </w:rPr>
      </w:pPr>
    </w:p>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7</w:t>
            </w:r>
          </w:p>
        </w:tc>
        <w:tc>
          <w:tcPr>
            <w:tcW w:w="6662" w:type="dxa"/>
            <w:gridSpan w:val="3"/>
            <w:shd w:val="clear" w:color="auto" w:fill="BFBFBF" w:themeFill="background1" w:themeFillShade="BF"/>
          </w:tcPr>
          <w:p w:rsidR="00A54B1A" w:rsidRPr="00951351" w:rsidRDefault="00A54B1A" w:rsidP="00A3739B">
            <w:pPr>
              <w:pStyle w:val="Text"/>
              <w:tabs>
                <w:tab w:val="clear" w:pos="851"/>
              </w:tabs>
              <w:ind w:left="0"/>
              <w:rPr>
                <w:sz w:val="21"/>
                <w:szCs w:val="21"/>
                <w:lang w:val="de-DE"/>
              </w:rPr>
            </w:pPr>
            <w:r w:rsidRPr="00951351">
              <w:rPr>
                <w:sz w:val="21"/>
                <w:szCs w:val="21"/>
                <w:lang w:eastAsia="en-US"/>
              </w:rPr>
              <w:t xml:space="preserve">Beziehen sich alle Meldungen </w:t>
            </w:r>
            <w:r w:rsidR="003E2807">
              <w:rPr>
                <w:sz w:val="21"/>
                <w:szCs w:val="21"/>
                <w:lang w:eastAsia="en-US"/>
              </w:rPr>
              <w:t>201</w:t>
            </w:r>
            <w:r w:rsidR="00A3739B">
              <w:rPr>
                <w:sz w:val="21"/>
                <w:szCs w:val="21"/>
                <w:lang w:eastAsia="en-US"/>
              </w:rPr>
              <w:t>8</w:t>
            </w:r>
            <w:r w:rsidR="003E2807" w:rsidRPr="00951351">
              <w:rPr>
                <w:sz w:val="21"/>
                <w:szCs w:val="21"/>
                <w:lang w:eastAsia="en-US"/>
              </w:rPr>
              <w:t xml:space="preserve"> </w:t>
            </w:r>
            <w:r w:rsidRPr="00951351">
              <w:rPr>
                <w:sz w:val="21"/>
                <w:szCs w:val="21"/>
                <w:lang w:eastAsia="en-US"/>
              </w:rPr>
              <w:t>in der ZLEL-Applikation lediglich auf Fälle nach altem Recht (RDP 2013 und älter)?</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54B1A" w:rsidRPr="00951351" w:rsidRDefault="00A54B1A" w:rsidP="0002543D">
            <w:pPr>
              <w:ind w:left="170" w:hanging="170"/>
              <w:rPr>
                <w:rFonts w:eastAsia="Calibri" w:cs="Arial"/>
                <w:szCs w:val="21"/>
              </w:rPr>
            </w:pPr>
            <w:r w:rsidRPr="00951351">
              <w:rPr>
                <w:rFonts w:eastAsia="Calibri" w:cs="Arial"/>
                <w:szCs w:val="21"/>
              </w:rPr>
              <w:t>- rückwirkende RDP 2013 oder älter</w:t>
            </w:r>
          </w:p>
          <w:p w:rsidR="00A54B1A" w:rsidRPr="00951351" w:rsidRDefault="00A54B1A" w:rsidP="0002543D">
            <w:pPr>
              <w:ind w:left="170" w:hanging="170"/>
              <w:rPr>
                <w:rFonts w:eastAsia="Calibri" w:cs="Arial"/>
                <w:szCs w:val="21"/>
              </w:rPr>
            </w:pPr>
            <w:r w:rsidRPr="00951351">
              <w:rPr>
                <w:rFonts w:eastAsia="Calibri" w:cs="Arial"/>
                <w:szCs w:val="21"/>
              </w:rPr>
              <w:t>- Erlass oder Abschreibung einer Rückerstattungsforderung bezüglich einer RDP 2013 oder älter</w:t>
            </w:r>
          </w:p>
          <w:p w:rsidR="00A54B1A" w:rsidRPr="00951351" w:rsidRDefault="00A54B1A" w:rsidP="0002543D">
            <w:pPr>
              <w:ind w:left="170" w:hanging="170"/>
              <w:rPr>
                <w:rFonts w:eastAsia="Calibri" w:cs="Arial"/>
                <w:szCs w:val="21"/>
              </w:rPr>
            </w:pPr>
            <w:r w:rsidRPr="00951351">
              <w:rPr>
                <w:rFonts w:eastAsia="Calibri" w:cs="Arial"/>
                <w:szCs w:val="21"/>
              </w:rPr>
              <w:t>- rückwirkende Rückerstattungsforderung betreffend eine RDP 2013 oder älter</w:t>
            </w:r>
          </w:p>
          <w:p w:rsidR="00A54B1A" w:rsidRPr="00951351" w:rsidRDefault="00A54B1A" w:rsidP="00A54B1A">
            <w:pPr>
              <w:spacing w:after="60"/>
              <w:ind w:left="170" w:hanging="170"/>
              <w:rPr>
                <w:rFonts w:eastAsia="Calibri" w:cs="Arial"/>
                <w:szCs w:val="21"/>
              </w:rPr>
            </w:pPr>
            <w:r w:rsidRPr="00951351">
              <w:rPr>
                <w:rFonts w:eastAsia="Calibri" w:cs="Arial"/>
                <w:szCs w:val="21"/>
              </w:rPr>
              <w:t>- nachträgliche Eingänge von abgeschriebenen Rückerstattungsforderungen bezüglich RDP 2013 oder älter</w:t>
            </w:r>
          </w:p>
          <w:p w:rsidR="00A54B1A" w:rsidRPr="00951351" w:rsidRDefault="00E17F16" w:rsidP="00E17F16">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werden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Doppelmeldungen führen zu unzulässigen Doppelsubventionen.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AA0D06"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AA0D06"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Default="00FE5565" w:rsidP="00486122">
      <w:pPr>
        <w:pStyle w:val="GDListenummeriertrmisch"/>
        <w:numPr>
          <w:ilvl w:val="0"/>
          <w:numId w:val="0"/>
        </w:numPr>
        <w:rPr>
          <w:szCs w:val="21"/>
        </w:rPr>
      </w:pPr>
    </w:p>
    <w:p w:rsidR="000B6D72" w:rsidRPr="00951351" w:rsidRDefault="000B6D72" w:rsidP="00486122">
      <w:pPr>
        <w:pStyle w:val="GDListenummeriertrmisch"/>
        <w:numPr>
          <w:ilvl w:val="0"/>
          <w:numId w:val="0"/>
        </w:numPr>
        <w:rPr>
          <w:szCs w:val="21"/>
        </w:rPr>
      </w:pPr>
    </w:p>
    <w:p w:rsidR="00A54B1A" w:rsidRPr="00951351" w:rsidRDefault="00A54B1A" w:rsidP="00A54B1A">
      <w:pPr>
        <w:pStyle w:val="GDberschrift3ohneNr"/>
        <w:rPr>
          <w:lang w:val="de-DE"/>
        </w:rPr>
      </w:pPr>
      <w:r w:rsidRPr="00951351">
        <w:rPr>
          <w:lang w:val="de-DE"/>
        </w:rPr>
        <w:t>Prüfungshandlungen im Bereich EL (Teil ZUSO</w:t>
      </w:r>
      <w:r w:rsidR="000B6D72">
        <w:rPr>
          <w:lang w:val="de-DE"/>
        </w:rPr>
        <w:t>/</w:t>
      </w:r>
      <w:proofErr w:type="spellStart"/>
      <w:r w:rsidR="000B6D72">
        <w:rPr>
          <w:lang w:val="de-DE"/>
        </w:rPr>
        <w:t>ZLPro</w:t>
      </w:r>
      <w:proofErr w:type="spellEnd"/>
      <w:r w:rsidRPr="00951351">
        <w:rPr>
          <w:lang w:val="de-DE"/>
        </w:rPr>
        <w:t>-Gemeinden)</w:t>
      </w:r>
    </w:p>
    <w:p w:rsidR="00A54B1A" w:rsidRPr="00951351" w:rsidRDefault="00A54B1A" w:rsidP="00A54B1A">
      <w:pPr>
        <w:pStyle w:val="GDFliesstext"/>
        <w:rPr>
          <w:i/>
          <w:lang w:val="de-DE" w:eastAsia="en-US"/>
        </w:rPr>
      </w:pPr>
      <w:r w:rsidRPr="00951351">
        <w:rPr>
          <w:i/>
          <w:lang w:val="de-DE" w:eastAsia="en-US"/>
        </w:rPr>
        <w:t>(Teil für übrige Gemeinden (ohne ZUSO</w:t>
      </w:r>
      <w:r w:rsidR="00A639BE">
        <w:rPr>
          <w:i/>
          <w:lang w:val="de-DE" w:eastAsia="en-US"/>
        </w:rPr>
        <w:t>/</w:t>
      </w:r>
      <w:proofErr w:type="spellStart"/>
      <w:r w:rsidR="00A639BE">
        <w:rPr>
          <w:i/>
          <w:lang w:val="de-DE" w:eastAsia="en-US"/>
        </w:rPr>
        <w:t>ZLPro</w:t>
      </w:r>
      <w:proofErr w:type="spellEnd"/>
      <w:r w:rsidRPr="00951351">
        <w:rPr>
          <w:i/>
          <w:lang w:val="de-DE" w:eastAsia="en-US"/>
        </w:rPr>
        <w:t xml:space="preserve">)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w:t>
      </w:r>
      <w:r w:rsidR="000B6D72">
        <w:rPr>
          <w:i/>
          <w:lang w:val="de-DE" w:eastAsia="en-US"/>
        </w:rPr>
        <w:t>7</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DC3B24">
            <w:pPr>
              <w:pStyle w:val="Text"/>
              <w:tabs>
                <w:tab w:val="clear" w:pos="851"/>
                <w:tab w:val="clear" w:pos="7938"/>
              </w:tabs>
              <w:ind w:left="0"/>
              <w:jc w:val="left"/>
              <w:rPr>
                <w:sz w:val="21"/>
                <w:szCs w:val="21"/>
                <w:lang w:val="de-DE"/>
              </w:rPr>
            </w:pPr>
            <w:r w:rsidRPr="00951351">
              <w:rPr>
                <w:sz w:val="21"/>
                <w:szCs w:val="21"/>
                <w:lang w:val="de-DE"/>
              </w:rPr>
              <w:t>Sind die Unterlagen vollständig: Abrechnung EL</w:t>
            </w:r>
            <w:r w:rsidR="00DC3B24">
              <w:rPr>
                <w:sz w:val="21"/>
                <w:szCs w:val="21"/>
                <w:lang w:val="de-DE"/>
              </w:rPr>
              <w:t xml:space="preserve"> (Prämienverbilligungsanteile für die Leistungsjahre 2017 und früher)?</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AA0D06"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AA0D06"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AA0D06"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502</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 xml:space="preserve">Sind die </w:t>
            </w:r>
            <w:r w:rsidR="00C25FA4">
              <w:rPr>
                <w:sz w:val="21"/>
                <w:szCs w:val="21"/>
                <w:lang w:val="de-DE"/>
              </w:rPr>
              <w:t xml:space="preserve">im Jahr 2018 ausgerichteten </w:t>
            </w:r>
            <w:r w:rsidRPr="00951351">
              <w:rPr>
                <w:sz w:val="21"/>
                <w:szCs w:val="21"/>
                <w:lang w:val="de-DE"/>
              </w:rPr>
              <w:t xml:space="preserve">Krankenversicherungsprämien </w:t>
            </w:r>
            <w:r w:rsidR="00C25FA4">
              <w:rPr>
                <w:sz w:val="21"/>
                <w:szCs w:val="21"/>
                <w:lang w:val="de-DE"/>
              </w:rPr>
              <w:t xml:space="preserve">2017 und älter </w:t>
            </w:r>
            <w:r w:rsidRPr="00951351">
              <w:rPr>
                <w:sz w:val="21"/>
                <w:szCs w:val="21"/>
                <w:lang w:val="de-DE"/>
              </w:rPr>
              <w:t>aus Funktion 530 (Zusatzleistungen) in Funktion 520 (Krankenversicherung) umgebucht worden?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p w:rsidR="009C3124" w:rsidRPr="00951351" w:rsidRDefault="009C3124"/>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503</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520.3661/3662 abzüglich 520.4361/4362)?</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Default="000615EE">
      <w:pPr>
        <w:rPr>
          <w:sz w:val="14"/>
          <w:szCs w:val="14"/>
        </w:rPr>
      </w:pPr>
    </w:p>
    <w:p w:rsidR="00902AA0" w:rsidRPr="00951351" w:rsidRDefault="00902AA0">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02543D" w:rsidP="0002543D">
            <w:pPr>
              <w:pStyle w:val="GDListenummeriertrmisch"/>
              <w:numPr>
                <w:ilvl w:val="0"/>
                <w:numId w:val="0"/>
              </w:numPr>
              <w:rPr>
                <w:b/>
                <w:szCs w:val="21"/>
              </w:rPr>
            </w:pPr>
            <w:r w:rsidRPr="00951351">
              <w:rPr>
                <w:b/>
                <w:szCs w:val="21"/>
              </w:rPr>
              <w:t>Prüf</w:t>
            </w:r>
            <w:r w:rsidR="001D3DF4" w:rsidRPr="00951351">
              <w:rPr>
                <w:b/>
                <w:szCs w:val="21"/>
              </w:rPr>
              <w:t xml:space="preserve">ung Nr. </w:t>
            </w:r>
            <w:r w:rsidRPr="00951351">
              <w:rPr>
                <w:b/>
                <w:szCs w:val="21"/>
              </w:rPr>
              <w:t>504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Stimmt das Total der Detailliste der Nebenbuchhaltung mit der Hauptbuchhaltung überein?</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0"/>
              <w:rPr>
                <w:sz w:val="21"/>
                <w:szCs w:val="21"/>
              </w:rPr>
            </w:pPr>
            <w:r w:rsidRPr="00951351">
              <w:rPr>
                <w:sz w:val="21"/>
                <w:szCs w:val="21"/>
              </w:rPr>
              <w:t>Detailliste aus Nebenbuchhaltung verlangen.</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 xml:space="preserve">Wenn </w:t>
            </w:r>
            <w:proofErr w:type="spellStart"/>
            <w:r w:rsidRPr="00951351">
              <w:rPr>
                <w:sz w:val="21"/>
                <w:szCs w:val="21"/>
              </w:rPr>
              <w:t>Fibu</w:t>
            </w:r>
            <w:proofErr w:type="spellEnd"/>
            <w:r w:rsidRPr="00951351">
              <w:rPr>
                <w:sz w:val="21"/>
                <w:szCs w:val="21"/>
              </w:rPr>
              <w:t xml:space="preserve"> &lt; Nebenbuchhaltung, darf maximal der </w:t>
            </w:r>
            <w:proofErr w:type="spellStart"/>
            <w:r w:rsidRPr="00951351">
              <w:rPr>
                <w:sz w:val="21"/>
                <w:szCs w:val="21"/>
              </w:rPr>
              <w:t>Fibu</w:t>
            </w:r>
            <w:proofErr w:type="spellEnd"/>
            <w:r w:rsidRPr="00951351">
              <w:rPr>
                <w:sz w:val="21"/>
                <w:szCs w:val="21"/>
              </w:rPr>
              <w:t xml:space="preserve">-Betrag angerechnet werden. Wenn </w:t>
            </w:r>
            <w:proofErr w:type="spellStart"/>
            <w:r w:rsidRPr="00951351">
              <w:rPr>
                <w:sz w:val="21"/>
                <w:szCs w:val="21"/>
              </w:rPr>
              <w:t>Fibu</w:t>
            </w:r>
            <w:proofErr w:type="spellEnd"/>
            <w:r w:rsidRPr="00951351">
              <w:rPr>
                <w:sz w:val="21"/>
                <w:szCs w:val="21"/>
              </w:rPr>
              <w:t xml:space="preserve"> &gt; Nebenbuchhaltung, muss die Differenz nachgewiesen und plausibel begründet werden können. Andernfalls darf nur der kleinere Betrag gemäss Nebenbuchhaltung angerechnet werden.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275" w:hanging="275"/>
              <w:rPr>
                <w:szCs w:val="21"/>
              </w:rPr>
            </w:pPr>
            <w:sdt>
              <w:sdtPr>
                <w:rPr>
                  <w:szCs w:val="21"/>
                </w:rPr>
                <w:id w:val="122133054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275" w:hanging="275"/>
              <w:rPr>
                <w:szCs w:val="21"/>
              </w:rPr>
            </w:pPr>
            <w:sdt>
              <w:sdtPr>
                <w:rPr>
                  <w:szCs w:val="21"/>
                </w:rPr>
                <w:id w:val="-1582667656"/>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 w:val="center" w:pos="361"/>
                <w:tab w:val="center" w:pos="977"/>
              </w:tabs>
              <w:ind w:left="275" w:hanging="275"/>
              <w:rPr>
                <w:szCs w:val="21"/>
              </w:rPr>
            </w:pPr>
            <w:sdt>
              <w:sdtPr>
                <w:rPr>
                  <w:szCs w:val="21"/>
                </w:rPr>
                <w:id w:val="225037076"/>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505</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C3B24">
            <w:pPr>
              <w:pStyle w:val="GDListenummeriertrmisch"/>
              <w:numPr>
                <w:ilvl w:val="0"/>
                <w:numId w:val="0"/>
              </w:numPr>
              <w:rPr>
                <w:b/>
                <w:szCs w:val="21"/>
              </w:rPr>
            </w:pPr>
            <w:r w:rsidRPr="00951351">
              <w:rPr>
                <w:b/>
                <w:szCs w:val="21"/>
              </w:rPr>
              <w:t>Prüfung Nr. 50</w:t>
            </w:r>
            <w:r w:rsidR="00DC3B24">
              <w:rPr>
                <w:b/>
                <w:szCs w:val="21"/>
              </w:rPr>
              <w:t>6</w:t>
            </w:r>
          </w:p>
        </w:tc>
        <w:tc>
          <w:tcPr>
            <w:tcW w:w="6662" w:type="dxa"/>
            <w:gridSpan w:val="3"/>
            <w:shd w:val="clear" w:color="auto" w:fill="BFBFBF" w:themeFill="background1" w:themeFillShade="BF"/>
          </w:tcPr>
          <w:p w:rsidR="00133408" w:rsidRPr="00951351" w:rsidRDefault="00EA763E" w:rsidP="002327B5">
            <w:pPr>
              <w:pStyle w:val="Text"/>
              <w:tabs>
                <w:tab w:val="clear" w:pos="851"/>
                <w:tab w:val="clear" w:pos="7938"/>
                <w:tab w:val="left" w:pos="3436"/>
              </w:tabs>
              <w:ind w:left="0"/>
              <w:jc w:val="left"/>
              <w:rPr>
                <w:sz w:val="21"/>
                <w:szCs w:val="21"/>
                <w:lang w:val="de-DE"/>
              </w:rPr>
            </w:pPr>
            <w:r>
              <w:rPr>
                <w:sz w:val="21"/>
                <w:szCs w:val="21"/>
                <w:lang w:val="de-DE"/>
              </w:rPr>
              <w:t>EL-Rentennachzahlungen (Leistungsjahre 2017 und älter)</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AA0D06" w:rsidP="00016FEC">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AA0D06" w:rsidP="00016FEC">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AA0D06" w:rsidP="00016FEC">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pPr>
        <w:rPr>
          <w:sz w:val="14"/>
          <w:szCs w:val="14"/>
        </w:rPr>
      </w:pPr>
    </w:p>
    <w:p w:rsidR="00DC3B24" w:rsidRPr="00951351" w:rsidRDefault="00DC3B24">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2327B5">
            <w:pPr>
              <w:pStyle w:val="GDListenummeriertrmisch"/>
              <w:numPr>
                <w:ilvl w:val="0"/>
                <w:numId w:val="0"/>
              </w:numPr>
              <w:rPr>
                <w:b/>
                <w:szCs w:val="21"/>
              </w:rPr>
            </w:pPr>
            <w:r w:rsidRPr="00951351">
              <w:rPr>
                <w:b/>
                <w:szCs w:val="21"/>
              </w:rPr>
              <w:lastRenderedPageBreak/>
              <w:t xml:space="preserve">Prüfung Nr. </w:t>
            </w:r>
            <w:r w:rsidR="0002543D" w:rsidRPr="00951351">
              <w:rPr>
                <w:b/>
                <w:szCs w:val="21"/>
              </w:rPr>
              <w:t>5</w:t>
            </w:r>
            <w:r w:rsidR="00DC3B24">
              <w:rPr>
                <w:b/>
                <w:szCs w:val="21"/>
              </w:rPr>
              <w:t>07</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gemeldet, falls diese Vorschüsse geleistet hat? (stichprobenweise Prüfung)?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Nachzahlungsverfügungen.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leistungen müssen, falls die Fürsorge Vorschüsse geleistet hat, vor der Auszahlung auch immer der Fürsorgestelle gemeldet werden, damit sie ihre allfälligen Rückerstattungsansprüche geltend machen kann. Die Sozialhilfestelle ist dann gehalten, die zurückbehaltenen Beiträge für geleistete Prämienübernahmen als Ertrag auf das Konto 520.4360 zu verbuchen.</w:t>
            </w:r>
          </w:p>
          <w:p w:rsidR="000A039C" w:rsidRDefault="000A039C" w:rsidP="00FE5565">
            <w:pPr>
              <w:pStyle w:val="Text"/>
              <w:tabs>
                <w:tab w:val="clear" w:pos="851"/>
                <w:tab w:val="clear" w:pos="7938"/>
              </w:tabs>
              <w:ind w:left="0"/>
              <w:jc w:val="left"/>
              <w:rPr>
                <w:sz w:val="21"/>
                <w:szCs w:val="21"/>
              </w:rPr>
            </w:pPr>
          </w:p>
          <w:p w:rsidR="00DE524F" w:rsidRPr="00951351" w:rsidRDefault="00BD5C63" w:rsidP="00FE5565">
            <w:pPr>
              <w:pStyle w:val="Text"/>
              <w:tabs>
                <w:tab w:val="clear" w:pos="851"/>
                <w:tab w:val="clear" w:pos="7938"/>
              </w:tabs>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p>
          <w:p w:rsidR="00133408" w:rsidRPr="00951351" w:rsidRDefault="00133408" w:rsidP="00FE5565">
            <w:pPr>
              <w:pStyle w:val="Text"/>
              <w:tabs>
                <w:tab w:val="clear" w:pos="851"/>
                <w:tab w:val="clear" w:pos="7938"/>
              </w:tabs>
              <w:ind w:left="0"/>
              <w:jc w:val="left"/>
              <w:rPr>
                <w:sz w:val="21"/>
                <w:szCs w:val="21"/>
              </w:rPr>
            </w:pPr>
            <w:r w:rsidRPr="00951351">
              <w:rPr>
                <w:sz w:val="21"/>
                <w:szCs w:val="21"/>
              </w:rPr>
              <w:t>(gleiche Prüfung wie Nr. 21</w:t>
            </w:r>
            <w:r w:rsidR="00DC3B24">
              <w:rPr>
                <w:sz w:val="21"/>
                <w:szCs w:val="21"/>
              </w:rPr>
              <w:t>1</w:t>
            </w:r>
            <w:r w:rsidRPr="00951351">
              <w:rPr>
                <w:sz w:val="21"/>
                <w:szCs w:val="21"/>
              </w:rPr>
              <w:t>)</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AA0D06"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E5BD4">
            <w:pPr>
              <w:pStyle w:val="GDListenummeriertrmisch"/>
              <w:numPr>
                <w:ilvl w:val="0"/>
                <w:numId w:val="0"/>
              </w:numPr>
              <w:rPr>
                <w:b/>
                <w:szCs w:val="21"/>
              </w:rPr>
            </w:pPr>
            <w:r w:rsidRPr="00951351">
              <w:rPr>
                <w:b/>
                <w:szCs w:val="21"/>
              </w:rPr>
              <w:t>Prüfung Nr. 5</w:t>
            </w:r>
            <w:r w:rsidR="00DE5BD4">
              <w:rPr>
                <w:b/>
                <w:szCs w:val="21"/>
              </w:rPr>
              <w:t>08</w:t>
            </w:r>
          </w:p>
        </w:tc>
        <w:tc>
          <w:tcPr>
            <w:tcW w:w="6662" w:type="dxa"/>
            <w:gridSpan w:val="3"/>
            <w:shd w:val="clear" w:color="auto" w:fill="BFBFBF" w:themeFill="background1" w:themeFillShade="BF"/>
          </w:tcPr>
          <w:p w:rsidR="002327B5" w:rsidRPr="00951351" w:rsidRDefault="00C46B86" w:rsidP="00016FEC">
            <w:pPr>
              <w:pStyle w:val="Text"/>
              <w:tabs>
                <w:tab w:val="clear" w:pos="851"/>
                <w:tab w:val="clear" w:pos="7938"/>
                <w:tab w:val="left" w:pos="3436"/>
              </w:tabs>
              <w:ind w:left="0"/>
              <w:jc w:val="left"/>
              <w:rPr>
                <w:sz w:val="21"/>
                <w:szCs w:val="21"/>
                <w:lang w:val="de-DE"/>
              </w:rPr>
            </w:pPr>
            <w:r>
              <w:rPr>
                <w:sz w:val="21"/>
                <w:szCs w:val="21"/>
                <w:lang w:val="de-DE"/>
              </w:rPr>
              <w:t>Koordination IPV und PV bei Nachmeldungen (Leistu</w:t>
            </w:r>
            <w:r w:rsidR="00DE5BD4">
              <w:rPr>
                <w:sz w:val="21"/>
                <w:szCs w:val="21"/>
                <w:lang w:val="de-DE"/>
              </w:rPr>
              <w:t>n</w:t>
            </w:r>
            <w:r>
              <w:rPr>
                <w:sz w:val="21"/>
                <w:szCs w:val="21"/>
                <w:lang w:val="de-DE"/>
              </w:rPr>
              <w:t>gsjahr</w:t>
            </w:r>
            <w:r w:rsidR="00DE5BD4">
              <w:rPr>
                <w:sz w:val="21"/>
                <w:szCs w:val="21"/>
                <w:lang w:val="de-DE"/>
              </w:rPr>
              <w:t>e</w:t>
            </w:r>
            <w:r>
              <w:rPr>
                <w:sz w:val="21"/>
                <w:szCs w:val="21"/>
                <w:lang w:val="de-DE"/>
              </w:rPr>
              <w:t xml:space="preserve"> 2007 und früher</w:t>
            </w:r>
            <w:r w:rsidR="00DE5BD4">
              <w:rPr>
                <w:sz w:val="21"/>
                <w:szCs w:val="21"/>
                <w:lang w:val="de-DE"/>
              </w:rPr>
              <w:t>)</w:t>
            </w:r>
            <w:r w:rsidR="002327B5" w:rsidRPr="00951351">
              <w:rPr>
                <w:sz w:val="21"/>
                <w:szCs w:val="21"/>
                <w:lang w:val="de-DE"/>
              </w:rPr>
              <w:t xml:space="preserve"> </w:t>
            </w:r>
          </w:p>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berücksichtigt (stichprobenweise Prüfung)?</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AA0D06" w:rsidP="00016FEC">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AA0D06" w:rsidP="00016FEC">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AA0D06" w:rsidP="00016FEC">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A3739B">
            <w:pPr>
              <w:pStyle w:val="GDListenummeriertrmisch"/>
              <w:numPr>
                <w:ilvl w:val="0"/>
                <w:numId w:val="0"/>
              </w:numPr>
              <w:rPr>
                <w:b/>
                <w:szCs w:val="21"/>
              </w:rPr>
            </w:pPr>
            <w:r w:rsidRPr="00951351">
              <w:rPr>
                <w:b/>
                <w:szCs w:val="21"/>
              </w:rPr>
              <w:t xml:space="preserve">Prüfung Nr. </w:t>
            </w:r>
            <w:r>
              <w:rPr>
                <w:b/>
                <w:szCs w:val="21"/>
              </w:rPr>
              <w:t>509</w:t>
            </w:r>
          </w:p>
        </w:tc>
        <w:tc>
          <w:tcPr>
            <w:tcW w:w="6662" w:type="dxa"/>
            <w:gridSpan w:val="3"/>
            <w:shd w:val="clear" w:color="auto" w:fill="BFBFBF" w:themeFill="background1" w:themeFillShade="BF"/>
          </w:tcPr>
          <w:p w:rsidR="00A3739B" w:rsidRPr="00951351" w:rsidRDefault="00A3739B" w:rsidP="00A3739B">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w:t>
            </w:r>
            <w:r>
              <w:rPr>
                <w:rFonts w:cs="Arial"/>
                <w:sz w:val="21"/>
                <w:szCs w:val="21"/>
              </w:rPr>
              <w:t>7</w:t>
            </w:r>
            <w:r w:rsidRPr="00951351">
              <w:rPr>
                <w:rFonts w:cs="Arial"/>
                <w:sz w:val="21"/>
                <w:szCs w:val="21"/>
              </w:rPr>
              <w:t xml:space="preserve"> oder älter bei der Verbuchung in den Teil Prämienverbilligung (Funktion 520) und den Teil EL (Funktion 530) ausgeschieden</w:t>
            </w:r>
            <w:r w:rsidRPr="00951351">
              <w:rPr>
                <w:sz w:val="21"/>
                <w:szCs w:val="21"/>
                <w:lang w:val="de-DE"/>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rPr>
                <w:rFonts w:eastAsia="Calibri" w:cs="Arial"/>
                <w:szCs w:val="21"/>
              </w:rPr>
            </w:pPr>
            <w:r w:rsidRPr="00951351">
              <w:rPr>
                <w:rFonts w:eastAsia="Calibri" w:cs="Arial"/>
                <w:szCs w:val="21"/>
              </w:rPr>
              <w:t xml:space="preserve">Falls die Gemeinde nicht glaubhaft machen kann (z.B. anhand einer kurzen Dokumentation zu konkreten Fällen bzw. eines vorhandenen Prozessbeschriebs), dass die Prämienverbilligungsanteile aus den Rückerstattungsforderungen RDP 2013 oder älter in der Funktion 520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3739B" w:rsidRPr="00951351" w:rsidRDefault="00A3739B" w:rsidP="00CE2170">
            <w:pPr>
              <w:spacing w:after="60"/>
              <w:rPr>
                <w:rFonts w:eastAsia="Calibri" w:cs="Arial"/>
                <w:szCs w:val="21"/>
              </w:rPr>
            </w:pPr>
            <w:r w:rsidRPr="00951351">
              <w:rPr>
                <w:rFonts w:eastAsia="Calibri" w:cs="Arial"/>
                <w:szCs w:val="21"/>
              </w:rPr>
              <w:lastRenderedPageBreak/>
              <w:t xml:space="preserve">Bei der nächsten KVG-Revision (Revision der Abrechnung </w:t>
            </w:r>
            <w:r>
              <w:rPr>
                <w:rFonts w:eastAsia="Calibri" w:cs="Arial"/>
                <w:szCs w:val="21"/>
              </w:rPr>
              <w:t>2019</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A3739B" w:rsidRPr="00951351" w:rsidRDefault="00A3739B" w:rsidP="00CE2170">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2018</w:t>
            </w:r>
            <w:r w:rsidRPr="00951351">
              <w:rPr>
                <w:rFonts w:eastAsia="Calibri" w:cs="Arial"/>
                <w:szCs w:val="21"/>
              </w:rPr>
              <w:t xml:space="preserve"> bezüglich RDP oder älter keine Prämienverbilligungsanteile enthielten</w:t>
            </w:r>
          </w:p>
          <w:p w:rsidR="00A3739B" w:rsidRPr="00951351" w:rsidRDefault="00A3739B" w:rsidP="00CE2170">
            <w:pPr>
              <w:spacing w:after="60"/>
              <w:rPr>
                <w:rFonts w:eastAsia="Calibri" w:cs="Arial"/>
                <w:szCs w:val="21"/>
              </w:rPr>
            </w:pPr>
            <w:r w:rsidRPr="00951351">
              <w:rPr>
                <w:rFonts w:eastAsia="Calibri" w:cs="Arial"/>
                <w:szCs w:val="21"/>
              </w:rPr>
              <w:t xml:space="preserve">oder </w:t>
            </w:r>
          </w:p>
          <w:p w:rsidR="00A3739B" w:rsidRPr="00951351" w:rsidRDefault="00A3739B" w:rsidP="00A3739B">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2019</w:t>
            </w:r>
            <w:r w:rsidRPr="00951351">
              <w:rPr>
                <w:rFonts w:eastAsia="Calibri" w:cs="Arial"/>
                <w:szCs w:val="21"/>
              </w:rPr>
              <w:t xml:space="preserve"> inzwischen erfolgt ist:  Nachträgliche Buchung als Ertrag der in der Abrechnung </w:t>
            </w:r>
            <w:r>
              <w:rPr>
                <w:rFonts w:eastAsia="Calibri" w:cs="Arial"/>
                <w:szCs w:val="21"/>
              </w:rPr>
              <w:t>2018</w:t>
            </w:r>
            <w:r w:rsidRPr="00951351">
              <w:rPr>
                <w:rFonts w:eastAsia="Calibri" w:cs="Arial"/>
                <w:szCs w:val="21"/>
              </w:rPr>
              <w:t xml:space="preserve"> ausgebliebenen Verbuchungen der Prämienverbilligungsanteile aus den Rückerstattungsforderungen </w:t>
            </w:r>
            <w:r>
              <w:rPr>
                <w:rFonts w:eastAsia="Calibri" w:cs="Arial"/>
                <w:szCs w:val="21"/>
              </w:rPr>
              <w:t>2018</w:t>
            </w:r>
            <w:r w:rsidRPr="00951351">
              <w:rPr>
                <w:rFonts w:eastAsia="Calibri" w:cs="Arial"/>
                <w:szCs w:val="21"/>
              </w:rPr>
              <w:t xml:space="preserve"> bezüglich RDP 201</w:t>
            </w:r>
            <w:r>
              <w:rPr>
                <w:rFonts w:eastAsia="Calibri" w:cs="Arial"/>
                <w:szCs w:val="21"/>
              </w:rPr>
              <w:t>7</w:t>
            </w:r>
            <w:r w:rsidRPr="00951351">
              <w:rPr>
                <w:rFonts w:eastAsia="Calibri" w:cs="Arial"/>
                <w:szCs w:val="21"/>
              </w:rPr>
              <w:t xml:space="preserve"> oder früher.</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3739B" w:rsidRPr="00951351" w:rsidRDefault="00AA0D06" w:rsidP="00CE2170">
            <w:pPr>
              <w:pStyle w:val="GDListenummeriertrmisch"/>
              <w:numPr>
                <w:ilvl w:val="0"/>
                <w:numId w:val="0"/>
              </w:numPr>
              <w:tabs>
                <w:tab w:val="center" w:pos="306"/>
              </w:tabs>
              <w:ind w:left="317" w:hanging="317"/>
              <w:rPr>
                <w:szCs w:val="21"/>
              </w:rPr>
            </w:pPr>
            <w:sdt>
              <w:sdtPr>
                <w:rPr>
                  <w:szCs w:val="21"/>
                </w:rPr>
                <w:id w:val="1062753215"/>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AA0D06" w:rsidP="00CE2170">
            <w:pPr>
              <w:pStyle w:val="GDListenummeriertrmisch"/>
              <w:numPr>
                <w:ilvl w:val="0"/>
                <w:numId w:val="0"/>
              </w:numPr>
              <w:tabs>
                <w:tab w:val="center" w:pos="263"/>
              </w:tabs>
              <w:ind w:left="317" w:hanging="317"/>
              <w:rPr>
                <w:szCs w:val="21"/>
              </w:rPr>
            </w:pPr>
            <w:sdt>
              <w:sdtPr>
                <w:rPr>
                  <w:szCs w:val="21"/>
                </w:rPr>
                <w:id w:val="35453788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AA0D06" w:rsidP="00CE2170">
            <w:pPr>
              <w:pStyle w:val="GDListenummeriertrmisch"/>
              <w:numPr>
                <w:ilvl w:val="0"/>
                <w:numId w:val="0"/>
              </w:numPr>
              <w:tabs>
                <w:tab w:val="center" w:pos="361"/>
                <w:tab w:val="center" w:pos="977"/>
              </w:tabs>
              <w:ind w:left="317" w:hanging="317"/>
              <w:rPr>
                <w:szCs w:val="21"/>
              </w:rPr>
            </w:pPr>
            <w:sdt>
              <w:sdtPr>
                <w:rPr>
                  <w:szCs w:val="21"/>
                </w:rPr>
                <w:id w:val="1415431483"/>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A3739B" w:rsidRDefault="00A3739B" w:rsidP="00A3739B">
      <w:pPr>
        <w:pStyle w:val="GDListenummeriertrmisch"/>
        <w:numPr>
          <w:ilvl w:val="0"/>
          <w:numId w:val="0"/>
        </w:numPr>
        <w:rPr>
          <w:sz w:val="14"/>
          <w:szCs w:val="14"/>
        </w:rPr>
      </w:pPr>
    </w:p>
    <w:p w:rsidR="00A3739B" w:rsidRPr="00951351" w:rsidRDefault="00A3739B"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A3739B">
            <w:pPr>
              <w:pStyle w:val="GDListenummeriertrmisch"/>
              <w:numPr>
                <w:ilvl w:val="0"/>
                <w:numId w:val="0"/>
              </w:numPr>
              <w:rPr>
                <w:b/>
                <w:szCs w:val="21"/>
              </w:rPr>
            </w:pPr>
            <w:r w:rsidRPr="00951351">
              <w:rPr>
                <w:b/>
                <w:szCs w:val="21"/>
              </w:rPr>
              <w:t xml:space="preserve">Prüfung Nr. </w:t>
            </w:r>
            <w:r>
              <w:rPr>
                <w:b/>
                <w:szCs w:val="21"/>
              </w:rPr>
              <w:t>510</w:t>
            </w:r>
          </w:p>
        </w:tc>
        <w:tc>
          <w:tcPr>
            <w:tcW w:w="6662" w:type="dxa"/>
            <w:gridSpan w:val="3"/>
            <w:shd w:val="clear" w:color="auto" w:fill="BFBFBF" w:themeFill="background1" w:themeFillShade="BF"/>
          </w:tcPr>
          <w:p w:rsidR="00A3739B" w:rsidRPr="00951351" w:rsidRDefault="00A3739B" w:rsidP="00A3739B">
            <w:pPr>
              <w:pStyle w:val="Text"/>
              <w:tabs>
                <w:tab w:val="clear" w:pos="851"/>
              </w:tabs>
              <w:ind w:left="0"/>
              <w:rPr>
                <w:sz w:val="21"/>
                <w:szCs w:val="21"/>
                <w:lang w:val="de-DE"/>
              </w:rPr>
            </w:pPr>
            <w:r w:rsidRPr="00951351">
              <w:rPr>
                <w:sz w:val="21"/>
                <w:szCs w:val="21"/>
                <w:lang w:eastAsia="en-US"/>
              </w:rPr>
              <w:t xml:space="preserve">Beziehen sich alle Meldungen </w:t>
            </w:r>
            <w:r>
              <w:rPr>
                <w:sz w:val="21"/>
                <w:szCs w:val="21"/>
                <w:lang w:eastAsia="en-US"/>
              </w:rPr>
              <w:t>2018</w:t>
            </w:r>
            <w:r w:rsidRPr="00951351">
              <w:rPr>
                <w:sz w:val="21"/>
                <w:szCs w:val="21"/>
                <w:lang w:eastAsia="en-US"/>
              </w:rPr>
              <w:t xml:space="preserve"> in der ZLEL-Applikation lediglich auf Fälle </w:t>
            </w:r>
            <w:r>
              <w:rPr>
                <w:sz w:val="21"/>
                <w:szCs w:val="21"/>
                <w:lang w:eastAsia="en-US"/>
              </w:rPr>
              <w:t xml:space="preserve">mit Leistungsanspruch </w:t>
            </w:r>
            <w:r w:rsidRPr="00951351">
              <w:rPr>
                <w:sz w:val="21"/>
                <w:szCs w:val="21"/>
                <w:lang w:eastAsia="en-US"/>
              </w:rPr>
              <w:t>201</w:t>
            </w:r>
            <w:r>
              <w:rPr>
                <w:sz w:val="21"/>
                <w:szCs w:val="21"/>
                <w:lang w:eastAsia="en-US"/>
              </w:rPr>
              <w:t>7 oder älter</w:t>
            </w:r>
            <w:r w:rsidRPr="00951351">
              <w:rPr>
                <w:sz w:val="21"/>
                <w:szCs w:val="21"/>
                <w:lang w:eastAsia="en-US"/>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3739B" w:rsidRPr="00951351" w:rsidRDefault="00A3739B" w:rsidP="00CE2170">
            <w:pPr>
              <w:ind w:left="170" w:hanging="170"/>
              <w:rPr>
                <w:rFonts w:eastAsia="Calibri" w:cs="Arial"/>
                <w:szCs w:val="21"/>
              </w:rPr>
            </w:pPr>
            <w:r w:rsidRPr="00951351">
              <w:rPr>
                <w:rFonts w:eastAsia="Calibri" w:cs="Arial"/>
                <w:szCs w:val="21"/>
              </w:rPr>
              <w:t>- rückwirkende RDP 201</w:t>
            </w:r>
            <w:r w:rsidR="00CE2170">
              <w:rPr>
                <w:rFonts w:eastAsia="Calibri" w:cs="Arial"/>
                <w:szCs w:val="21"/>
              </w:rPr>
              <w:t>7</w:t>
            </w:r>
            <w:r w:rsidRPr="00951351">
              <w:rPr>
                <w:rFonts w:eastAsia="Calibri" w:cs="Arial"/>
                <w:szCs w:val="21"/>
              </w:rPr>
              <w:t xml:space="preserve"> oder älter</w:t>
            </w:r>
          </w:p>
          <w:p w:rsidR="00A3739B" w:rsidRPr="00951351" w:rsidRDefault="00A3739B" w:rsidP="00CE2170">
            <w:pPr>
              <w:ind w:left="170" w:hanging="170"/>
              <w:rPr>
                <w:rFonts w:eastAsia="Calibri" w:cs="Arial"/>
                <w:szCs w:val="21"/>
              </w:rPr>
            </w:pPr>
            <w:r w:rsidRPr="00951351">
              <w:rPr>
                <w:rFonts w:eastAsia="Calibri" w:cs="Arial"/>
                <w:szCs w:val="21"/>
              </w:rPr>
              <w:t>- Erlass oder Abschreibung einer Rückerstattungsforderung bezüglich einer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CE2170">
            <w:pPr>
              <w:ind w:left="170" w:hanging="170"/>
              <w:rPr>
                <w:rFonts w:eastAsia="Calibri" w:cs="Arial"/>
                <w:szCs w:val="21"/>
              </w:rPr>
            </w:pPr>
            <w:r w:rsidRPr="00951351">
              <w:rPr>
                <w:rFonts w:eastAsia="Calibri" w:cs="Arial"/>
                <w:szCs w:val="21"/>
              </w:rPr>
              <w:t>- rückwirkende Rückerstattungsforderung betreffend eine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CE2170">
            <w:pPr>
              <w:spacing w:after="60"/>
              <w:ind w:left="170" w:hanging="170"/>
              <w:rPr>
                <w:rFonts w:eastAsia="Calibri" w:cs="Arial"/>
                <w:szCs w:val="21"/>
              </w:rPr>
            </w:pPr>
            <w:r w:rsidRPr="00951351">
              <w:rPr>
                <w:rFonts w:eastAsia="Calibri" w:cs="Arial"/>
                <w:szCs w:val="21"/>
              </w:rPr>
              <w:t>- nachträgliche Eingänge von abgeschriebenen Rückerstattungsforderungen bezüglich RDP 201</w:t>
            </w:r>
            <w:r w:rsidR="00B803E5">
              <w:rPr>
                <w:rFonts w:eastAsia="Calibri" w:cs="Arial"/>
                <w:szCs w:val="21"/>
              </w:rPr>
              <w:t>7</w:t>
            </w:r>
            <w:r w:rsidRPr="00951351">
              <w:rPr>
                <w:rFonts w:eastAsia="Calibri" w:cs="Arial"/>
                <w:szCs w:val="21"/>
              </w:rPr>
              <w:t xml:space="preserve"> oder älter</w:t>
            </w:r>
          </w:p>
          <w:p w:rsidR="00A3739B" w:rsidRPr="00951351" w:rsidRDefault="00A3739B" w:rsidP="00B803E5">
            <w:pPr>
              <w:ind w:left="35"/>
              <w:rPr>
                <w:rFonts w:eastAsia="Calibri" w:cs="Arial"/>
                <w:szCs w:val="21"/>
              </w:rPr>
            </w:pPr>
            <w:r w:rsidRPr="00951351">
              <w:rPr>
                <w:rFonts w:eastAsia="Calibri" w:cs="Arial"/>
                <w:szCs w:val="21"/>
              </w:rPr>
              <w:t>Im Rahmen der KVG-Revision ist zu prüfen, dass in der ZLEL-Applikation keine Fälle RDP 201</w:t>
            </w:r>
            <w:r w:rsidR="00B803E5">
              <w:rPr>
                <w:rFonts w:eastAsia="Calibri" w:cs="Arial"/>
                <w:szCs w:val="21"/>
              </w:rPr>
              <w:t>8</w:t>
            </w:r>
            <w:r w:rsidRPr="00951351">
              <w:rPr>
                <w:rFonts w:eastAsia="Calibri" w:cs="Arial"/>
                <w:szCs w:val="21"/>
              </w:rPr>
              <w:t xml:space="preserve"> oder jünger in ZLEL erfasst werden sind. Mit dieser Prüfung sollen Doppelmeldungen einerseits via ZLEL und anderseits an die SVA entdeckt werden. Solche Doppelmeldungen führen zu unzulässigen Doppelsubventionen.</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3739B" w:rsidRPr="00951351" w:rsidRDefault="00AA0D06" w:rsidP="00CE2170">
            <w:pPr>
              <w:pStyle w:val="GDListenummeriertrmisch"/>
              <w:numPr>
                <w:ilvl w:val="0"/>
                <w:numId w:val="0"/>
              </w:numPr>
              <w:tabs>
                <w:tab w:val="center" w:pos="306"/>
              </w:tabs>
              <w:ind w:left="317" w:hanging="317"/>
              <w:rPr>
                <w:szCs w:val="21"/>
              </w:rPr>
            </w:pPr>
            <w:sdt>
              <w:sdtPr>
                <w:rPr>
                  <w:szCs w:val="21"/>
                </w:rPr>
                <w:id w:val="-733853711"/>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AA0D06" w:rsidP="00CE2170">
            <w:pPr>
              <w:pStyle w:val="GDListenummeriertrmisch"/>
              <w:numPr>
                <w:ilvl w:val="0"/>
                <w:numId w:val="0"/>
              </w:numPr>
              <w:tabs>
                <w:tab w:val="center" w:pos="263"/>
              </w:tabs>
              <w:ind w:left="317" w:hanging="317"/>
              <w:rPr>
                <w:szCs w:val="21"/>
              </w:rPr>
            </w:pPr>
            <w:sdt>
              <w:sdtPr>
                <w:rPr>
                  <w:szCs w:val="21"/>
                </w:rPr>
                <w:id w:val="1304966580"/>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AA0D06" w:rsidP="00CE2170">
            <w:pPr>
              <w:pStyle w:val="GDListenummeriertrmisch"/>
              <w:numPr>
                <w:ilvl w:val="0"/>
                <w:numId w:val="0"/>
              </w:numPr>
              <w:tabs>
                <w:tab w:val="center" w:pos="361"/>
                <w:tab w:val="center" w:pos="977"/>
              </w:tabs>
              <w:ind w:left="317" w:hanging="317"/>
              <w:rPr>
                <w:szCs w:val="21"/>
              </w:rPr>
            </w:pPr>
            <w:sdt>
              <w:sdtPr>
                <w:rPr>
                  <w:szCs w:val="21"/>
                </w:rPr>
                <w:id w:val="-210849913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C46B86" w:rsidRPr="00951351" w:rsidRDefault="00C46B86" w:rsidP="00486122">
      <w:pPr>
        <w:pStyle w:val="GDListenummeriertrmisch"/>
        <w:numPr>
          <w:ilvl w:val="0"/>
          <w:numId w:val="0"/>
        </w:numPr>
        <w:rPr>
          <w:sz w:val="14"/>
          <w:szCs w:val="14"/>
        </w:rPr>
      </w:pPr>
    </w:p>
    <w:tbl>
      <w:tblPr>
        <w:tblStyle w:val="Tabellenraster"/>
        <w:tblW w:w="8613" w:type="dxa"/>
        <w:tblInd w:w="5" w:type="dxa"/>
        <w:tblLook w:val="04A0" w:firstRow="1" w:lastRow="0" w:firstColumn="1" w:lastColumn="0" w:noHBand="0" w:noVBand="1"/>
      </w:tblPr>
      <w:tblGrid>
        <w:gridCol w:w="1951"/>
        <w:gridCol w:w="6662"/>
      </w:tblGrid>
      <w:tr w:rsidR="00951351" w:rsidRPr="00951351" w:rsidTr="003E391C">
        <w:trPr>
          <w:trHeight w:val="260"/>
        </w:trPr>
        <w:tc>
          <w:tcPr>
            <w:tcW w:w="1951" w:type="dxa"/>
            <w:shd w:val="clear" w:color="auto" w:fill="BFBFBF" w:themeFill="background1" w:themeFillShade="BF"/>
          </w:tcPr>
          <w:p w:rsidR="00760CBB" w:rsidRPr="00951351" w:rsidRDefault="001D3DF4" w:rsidP="00A3739B">
            <w:pPr>
              <w:pStyle w:val="GDListenummeriertrmisch"/>
              <w:numPr>
                <w:ilvl w:val="0"/>
                <w:numId w:val="0"/>
              </w:numPr>
              <w:rPr>
                <w:b/>
                <w:szCs w:val="21"/>
              </w:rPr>
            </w:pPr>
            <w:r w:rsidRPr="00951351">
              <w:rPr>
                <w:b/>
                <w:szCs w:val="21"/>
              </w:rPr>
              <w:t xml:space="preserve">Prüfung Nr. </w:t>
            </w:r>
            <w:r w:rsidR="00760CBB" w:rsidRPr="00951351">
              <w:rPr>
                <w:b/>
                <w:szCs w:val="21"/>
              </w:rPr>
              <w:t>5</w:t>
            </w:r>
            <w:r w:rsidR="00A3739B">
              <w:rPr>
                <w:b/>
                <w:szCs w:val="21"/>
              </w:rPr>
              <w:t>11</w:t>
            </w:r>
          </w:p>
        </w:tc>
        <w:tc>
          <w:tcPr>
            <w:tcW w:w="6662" w:type="dxa"/>
            <w:shd w:val="clear" w:color="auto" w:fill="BFBFBF" w:themeFill="background1" w:themeFillShade="BF"/>
          </w:tcPr>
          <w:p w:rsidR="00760CBB" w:rsidRPr="00951351" w:rsidRDefault="00760CBB" w:rsidP="00760CBB">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760CBB" w:rsidRPr="00951351" w:rsidRDefault="00566968" w:rsidP="00204CE5">
            <w:pPr>
              <w:pStyle w:val="Text"/>
              <w:tabs>
                <w:tab w:val="clear" w:pos="851"/>
              </w:tabs>
              <w:ind w:left="0"/>
              <w:rPr>
                <w:sz w:val="21"/>
                <w:szCs w:val="21"/>
                <w:lang w:val="de-DE"/>
              </w:rPr>
            </w:pPr>
            <w:r w:rsidRPr="00951351">
              <w:rPr>
                <w:sz w:val="21"/>
                <w:szCs w:val="21"/>
                <w:lang w:val="de-DE"/>
              </w:rPr>
              <w:t>Haben Zweckentfremdungen</w:t>
            </w:r>
            <w:r w:rsidR="00760CBB" w:rsidRPr="00951351">
              <w:rPr>
                <w:sz w:val="21"/>
                <w:szCs w:val="21"/>
                <w:lang w:val="de-DE"/>
              </w:rPr>
              <w:t xml:space="preserve"> </w:t>
            </w:r>
            <w:r w:rsidR="008F2EC8">
              <w:rPr>
                <w:sz w:val="21"/>
                <w:szCs w:val="21"/>
                <w:lang w:val="de-DE"/>
              </w:rPr>
              <w:t xml:space="preserve">in den </w:t>
            </w:r>
            <w:r w:rsidR="004A63B7" w:rsidRPr="00951351">
              <w:rPr>
                <w:sz w:val="21"/>
                <w:szCs w:val="21"/>
                <w:lang w:val="de-DE"/>
              </w:rPr>
              <w:t>Leistungsjahr</w:t>
            </w:r>
            <w:r w:rsidR="00204CE5">
              <w:rPr>
                <w:sz w:val="21"/>
                <w:szCs w:val="21"/>
                <w:lang w:val="de-DE"/>
              </w:rPr>
              <w:t>en</w:t>
            </w:r>
            <w:r w:rsidR="004A63B7" w:rsidRPr="00951351">
              <w:rPr>
                <w:sz w:val="21"/>
                <w:szCs w:val="21"/>
                <w:lang w:val="de-DE"/>
              </w:rPr>
              <w:t xml:space="preserve"> 201</w:t>
            </w:r>
            <w:r w:rsidR="00204CE5">
              <w:rPr>
                <w:sz w:val="21"/>
                <w:szCs w:val="21"/>
                <w:lang w:val="de-DE"/>
              </w:rPr>
              <w:t>5 bis 2017</w:t>
            </w:r>
            <w:r w:rsidR="004A63B7" w:rsidRPr="00951351">
              <w:rPr>
                <w:sz w:val="21"/>
                <w:szCs w:val="21"/>
                <w:lang w:val="de-DE"/>
              </w:rPr>
              <w:t xml:space="preserve"> </w:t>
            </w:r>
            <w:r w:rsidR="00760CBB" w:rsidRPr="00951351">
              <w:rPr>
                <w:sz w:val="21"/>
                <w:szCs w:val="21"/>
                <w:lang w:val="de-DE"/>
              </w:rPr>
              <w:t>zu einer Mehrbelastung des Kantons geführt?</w:t>
            </w:r>
          </w:p>
        </w:tc>
      </w:tr>
      <w:tr w:rsidR="00951351" w:rsidRPr="00951351" w:rsidTr="003E391C">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tcPr>
          <w:p w:rsidR="00760CBB" w:rsidRPr="00951351" w:rsidRDefault="003D08B4" w:rsidP="00204CE5">
            <w:pPr>
              <w:spacing w:after="60"/>
              <w:rPr>
                <w:rFonts w:eastAsia="Calibri" w:cs="Arial"/>
                <w:szCs w:val="21"/>
              </w:rPr>
            </w:pPr>
            <w:r>
              <w:rPr>
                <w:rFonts w:eastAsia="Calibri" w:cs="Arial"/>
                <w:szCs w:val="21"/>
              </w:rPr>
              <w:t xml:space="preserve">Prämienausstände </w:t>
            </w:r>
            <w:r w:rsidRPr="00951351">
              <w:rPr>
                <w:rFonts w:eastAsia="Calibri" w:cs="Arial"/>
                <w:szCs w:val="21"/>
              </w:rPr>
              <w:t>infolge Zweckentfremdung</w:t>
            </w:r>
            <w:r>
              <w:rPr>
                <w:rFonts w:eastAsia="Calibri" w:cs="Arial"/>
                <w:szCs w:val="21"/>
              </w:rPr>
              <w:t>, die im Zeitraum 2015 bis 2017 entstanden sind und nicht beglichen wurden,</w:t>
            </w:r>
            <w:r w:rsidR="00760CBB" w:rsidRPr="00951351">
              <w:rPr>
                <w:rFonts w:eastAsia="Calibri" w:cs="Arial"/>
                <w:szCs w:val="21"/>
              </w:rPr>
              <w:t xml:space="preserve"> </w:t>
            </w:r>
            <w:r w:rsidR="00204CE5">
              <w:rPr>
                <w:rFonts w:eastAsia="Calibri" w:cs="Arial"/>
                <w:szCs w:val="21"/>
              </w:rPr>
              <w:t>führ</w:t>
            </w:r>
            <w:r>
              <w:rPr>
                <w:rFonts w:eastAsia="Calibri" w:cs="Arial"/>
                <w:szCs w:val="21"/>
              </w:rPr>
              <w:t xml:space="preserve">en </w:t>
            </w:r>
            <w:r w:rsidR="00760CBB" w:rsidRPr="00951351">
              <w:rPr>
                <w:rFonts w:eastAsia="Calibri" w:cs="Arial"/>
                <w:szCs w:val="21"/>
              </w:rPr>
              <w:t xml:space="preserve">zu Verlustscheinen, welche je nach </w:t>
            </w:r>
            <w:r w:rsidR="00272742">
              <w:rPr>
                <w:rFonts w:eastAsia="Calibri" w:cs="Arial"/>
                <w:szCs w:val="21"/>
              </w:rPr>
              <w:t xml:space="preserve">betroffenen </w:t>
            </w:r>
            <w:r w:rsidR="00760CBB" w:rsidRPr="00951351">
              <w:rPr>
                <w:rFonts w:eastAsia="Calibri" w:cs="Arial"/>
                <w:szCs w:val="21"/>
              </w:rPr>
              <w:t xml:space="preserve">Prämienperiode und Verfahrensabwicklung im Jahr </w:t>
            </w:r>
            <w:r w:rsidR="00F207A0">
              <w:rPr>
                <w:rFonts w:eastAsia="Calibri" w:cs="Arial"/>
                <w:szCs w:val="21"/>
              </w:rPr>
              <w:t>201</w:t>
            </w:r>
            <w:r w:rsidR="00454CD7">
              <w:rPr>
                <w:rFonts w:eastAsia="Calibri" w:cs="Arial"/>
                <w:szCs w:val="21"/>
              </w:rPr>
              <w:t>7</w:t>
            </w:r>
            <w:r w:rsidR="00760CBB" w:rsidRPr="00951351">
              <w:rPr>
                <w:rFonts w:eastAsia="Calibri" w:cs="Arial"/>
                <w:szCs w:val="21"/>
              </w:rPr>
              <w:t xml:space="preserve">, im Jahr </w:t>
            </w:r>
            <w:r w:rsidR="00F207A0">
              <w:rPr>
                <w:rFonts w:eastAsia="Calibri" w:cs="Arial"/>
                <w:szCs w:val="21"/>
              </w:rPr>
              <w:t>201</w:t>
            </w:r>
            <w:r w:rsidR="00454CD7">
              <w:rPr>
                <w:rFonts w:eastAsia="Calibri" w:cs="Arial"/>
                <w:szCs w:val="21"/>
              </w:rPr>
              <w:t>8</w:t>
            </w:r>
            <w:r w:rsidR="00F207A0" w:rsidRPr="00951351">
              <w:rPr>
                <w:rFonts w:eastAsia="Calibri" w:cs="Arial"/>
                <w:szCs w:val="21"/>
              </w:rPr>
              <w:t xml:space="preserve"> </w:t>
            </w:r>
            <w:r w:rsidR="00760CBB" w:rsidRPr="00951351">
              <w:rPr>
                <w:rFonts w:eastAsia="Calibri" w:cs="Arial"/>
                <w:szCs w:val="21"/>
              </w:rPr>
              <w:t xml:space="preserve">oder im Jahr </w:t>
            </w:r>
            <w:r w:rsidR="00F207A0">
              <w:rPr>
                <w:rFonts w:eastAsia="Calibri" w:cs="Arial"/>
                <w:szCs w:val="21"/>
              </w:rPr>
              <w:t>201</w:t>
            </w:r>
            <w:r w:rsidR="00454CD7">
              <w:rPr>
                <w:rFonts w:eastAsia="Calibri" w:cs="Arial"/>
                <w:szCs w:val="21"/>
              </w:rPr>
              <w:t>9</w:t>
            </w:r>
            <w:r w:rsidR="00F207A0" w:rsidRPr="00951351">
              <w:rPr>
                <w:rFonts w:eastAsia="Calibri" w:cs="Arial"/>
                <w:szCs w:val="21"/>
              </w:rPr>
              <w:t xml:space="preserve"> </w:t>
            </w:r>
            <w:r w:rsidR="00760CBB" w:rsidRPr="00951351">
              <w:rPr>
                <w:rFonts w:eastAsia="Calibri" w:cs="Arial"/>
                <w:szCs w:val="21"/>
              </w:rPr>
              <w:t>ausgestellt werden.</w:t>
            </w:r>
          </w:p>
          <w:p w:rsidR="00584CA7" w:rsidRDefault="00760CBB" w:rsidP="00272742">
            <w:pPr>
              <w:spacing w:after="60"/>
              <w:rPr>
                <w:rFonts w:eastAsia="Calibri" w:cs="Arial"/>
                <w:szCs w:val="21"/>
              </w:rPr>
            </w:pPr>
            <w:r w:rsidRPr="00951351">
              <w:rPr>
                <w:rFonts w:eastAsia="Calibri" w:cs="Arial"/>
                <w:szCs w:val="21"/>
              </w:rPr>
              <w:lastRenderedPageBreak/>
              <w:t xml:space="preserve">Da der Kanton solche Verlustscheine finanziert, </w:t>
            </w:r>
            <w:r w:rsidR="00272742">
              <w:rPr>
                <w:rFonts w:eastAsia="Calibri" w:cs="Arial"/>
                <w:szCs w:val="21"/>
              </w:rPr>
              <w:t xml:space="preserve">besteht das Risiko, dass </w:t>
            </w:r>
            <w:r w:rsidRPr="00951351">
              <w:rPr>
                <w:rFonts w:eastAsia="Calibri" w:cs="Arial"/>
                <w:szCs w:val="21"/>
              </w:rPr>
              <w:t xml:space="preserve">Mehrbelastungen </w:t>
            </w:r>
            <w:r w:rsidR="00584CA7">
              <w:rPr>
                <w:rFonts w:eastAsia="Calibri" w:cs="Arial"/>
                <w:szCs w:val="21"/>
              </w:rPr>
              <w:t xml:space="preserve">für den Kanton entstehen. </w:t>
            </w:r>
          </w:p>
          <w:p w:rsidR="00584CA7" w:rsidRDefault="00584CA7" w:rsidP="00272742">
            <w:pPr>
              <w:spacing w:after="60"/>
              <w:rPr>
                <w:rFonts w:eastAsia="Calibri" w:cs="Arial"/>
                <w:szCs w:val="21"/>
              </w:rPr>
            </w:pPr>
          </w:p>
          <w:p w:rsidR="00C3002D" w:rsidRPr="00951351" w:rsidRDefault="005530A6" w:rsidP="00A3739B">
            <w:pPr>
              <w:spacing w:after="60"/>
              <w:rPr>
                <w:rFonts w:eastAsia="Calibri" w:cs="Arial"/>
                <w:szCs w:val="21"/>
              </w:rPr>
            </w:pPr>
            <w:r>
              <w:rPr>
                <w:rFonts w:eastAsia="Calibri" w:cs="Arial"/>
                <w:szCs w:val="21"/>
              </w:rPr>
              <w:t xml:space="preserve">Prüfungsart und Korrekturbedarf hängen davon ab, </w:t>
            </w:r>
            <w:r w:rsidR="00E96C11">
              <w:rPr>
                <w:rFonts w:eastAsia="Calibri" w:cs="Arial"/>
                <w:szCs w:val="21"/>
              </w:rPr>
              <w:t>ob</w:t>
            </w:r>
            <w:r>
              <w:rPr>
                <w:rFonts w:eastAsia="Calibri" w:cs="Arial"/>
                <w:szCs w:val="21"/>
              </w:rPr>
              <w:t xml:space="preserve"> </w:t>
            </w:r>
            <w:r w:rsidR="003263AC">
              <w:rPr>
                <w:rFonts w:eastAsia="Calibri" w:cs="Arial"/>
                <w:szCs w:val="21"/>
              </w:rPr>
              <w:t xml:space="preserve">eine Gemeinde die </w:t>
            </w:r>
            <w:r w:rsidR="00E96C11">
              <w:rPr>
                <w:rFonts w:eastAsia="Calibri" w:cs="Arial"/>
                <w:szCs w:val="21"/>
              </w:rPr>
              <w:t>aus Zweckentfremdung resultier</w:t>
            </w:r>
            <w:r w:rsidR="00B71286">
              <w:rPr>
                <w:rFonts w:eastAsia="Calibri" w:cs="Arial"/>
                <w:szCs w:val="21"/>
              </w:rPr>
              <w:t>ende</w:t>
            </w:r>
            <w:r w:rsidR="003263AC">
              <w:rPr>
                <w:rFonts w:eastAsia="Calibri" w:cs="Arial"/>
                <w:szCs w:val="21"/>
              </w:rPr>
              <w:t>n</w:t>
            </w:r>
            <w:r w:rsidR="001176C0">
              <w:rPr>
                <w:rFonts w:eastAsia="Calibri" w:cs="Arial"/>
                <w:szCs w:val="21"/>
              </w:rPr>
              <w:t xml:space="preserve"> </w:t>
            </w:r>
            <w:r w:rsidR="00E96C11">
              <w:rPr>
                <w:rFonts w:eastAsia="Calibri" w:cs="Arial"/>
                <w:szCs w:val="21"/>
              </w:rPr>
              <w:t xml:space="preserve">Verlustscheine </w:t>
            </w:r>
            <w:r>
              <w:rPr>
                <w:rFonts w:eastAsia="Calibri" w:cs="Arial"/>
                <w:szCs w:val="21"/>
              </w:rPr>
              <w:t xml:space="preserve">mit </w:t>
            </w:r>
            <w:r w:rsidR="00E96C11">
              <w:rPr>
                <w:rFonts w:eastAsia="Calibri" w:cs="Arial"/>
                <w:szCs w:val="21"/>
              </w:rPr>
              <w:t>oder ohne Verfügung von Rückerstattung</w:t>
            </w:r>
            <w:r w:rsidR="001176C0">
              <w:rPr>
                <w:rFonts w:eastAsia="Calibri" w:cs="Arial"/>
                <w:szCs w:val="21"/>
              </w:rPr>
              <w:t>s</w:t>
            </w:r>
            <w:r w:rsidR="00E96C11">
              <w:rPr>
                <w:rFonts w:eastAsia="Calibri" w:cs="Arial"/>
                <w:szCs w:val="21"/>
              </w:rPr>
              <w:t>forderungen abge</w:t>
            </w:r>
            <w:r w:rsidR="003263AC">
              <w:rPr>
                <w:rFonts w:eastAsia="Calibri" w:cs="Arial"/>
                <w:szCs w:val="21"/>
              </w:rPr>
              <w:t>wickelt</w:t>
            </w:r>
            <w:r w:rsidR="001176C0" w:rsidRPr="007E5D10">
              <w:rPr>
                <w:rFonts w:eastAsia="Calibri" w:cs="Arial"/>
                <w:b/>
                <w:szCs w:val="21"/>
              </w:rPr>
              <w:t>. Da es unter den Gemeinden diesbezüglich unterschiedliche Handhabungen gibt, wird hier unten das Prüfverfahren differenziert dargestellt</w:t>
            </w:r>
            <w:r w:rsidR="007E5D10">
              <w:rPr>
                <w:rFonts w:eastAsia="Calibri" w:cs="Arial"/>
                <w:b/>
                <w:szCs w:val="21"/>
              </w:rPr>
              <w:t>. Es erg</w:t>
            </w:r>
            <w:r w:rsidR="003263AC">
              <w:rPr>
                <w:rFonts w:eastAsia="Calibri" w:cs="Arial"/>
                <w:b/>
                <w:szCs w:val="21"/>
              </w:rPr>
              <w:t xml:space="preserve">eben sich daher </w:t>
            </w:r>
            <w:r w:rsidR="007E5D10">
              <w:rPr>
                <w:rFonts w:eastAsia="Calibri" w:cs="Arial"/>
                <w:b/>
                <w:szCs w:val="21"/>
              </w:rPr>
              <w:t xml:space="preserve">die Prüfungen Nr. </w:t>
            </w:r>
            <w:r w:rsidR="00B71286" w:rsidRPr="007E5D10">
              <w:rPr>
                <w:rFonts w:eastAsia="Calibri" w:cs="Arial"/>
                <w:b/>
                <w:szCs w:val="21"/>
              </w:rPr>
              <w:t>5</w:t>
            </w:r>
            <w:r w:rsidR="00A3739B">
              <w:rPr>
                <w:rFonts w:eastAsia="Calibri" w:cs="Arial"/>
                <w:b/>
                <w:szCs w:val="21"/>
              </w:rPr>
              <w:t>11</w:t>
            </w:r>
            <w:r w:rsidR="00B71286" w:rsidRPr="007E5D10">
              <w:rPr>
                <w:rFonts w:eastAsia="Calibri" w:cs="Arial"/>
                <w:b/>
                <w:szCs w:val="21"/>
              </w:rPr>
              <w:t xml:space="preserve"> A </w:t>
            </w:r>
            <w:r w:rsidR="003263AC" w:rsidRPr="003263AC">
              <w:rPr>
                <w:rFonts w:eastAsia="Calibri" w:cs="Arial"/>
                <w:szCs w:val="21"/>
              </w:rPr>
              <w:t>(</w:t>
            </w:r>
            <w:r w:rsidR="003263AC">
              <w:rPr>
                <w:rFonts w:eastAsia="Calibri" w:cs="Arial"/>
                <w:szCs w:val="21"/>
              </w:rPr>
              <w:t xml:space="preserve">für Gemeinden </w:t>
            </w:r>
            <w:r w:rsidR="003263AC" w:rsidRPr="003263AC">
              <w:rPr>
                <w:rFonts w:eastAsia="Calibri" w:cs="Arial"/>
                <w:szCs w:val="21"/>
              </w:rPr>
              <w:t>mit Rückerstattungsverfahren)</w:t>
            </w:r>
            <w:r w:rsidR="003263AC">
              <w:rPr>
                <w:rFonts w:eastAsia="Calibri" w:cs="Arial"/>
                <w:b/>
                <w:szCs w:val="21"/>
              </w:rPr>
              <w:t xml:space="preserve"> </w:t>
            </w:r>
            <w:r w:rsidR="00B71286" w:rsidRPr="007E5D10">
              <w:rPr>
                <w:rFonts w:eastAsia="Calibri" w:cs="Arial"/>
                <w:b/>
                <w:szCs w:val="21"/>
              </w:rPr>
              <w:t>und</w:t>
            </w:r>
            <w:r w:rsidR="00C25FA4">
              <w:rPr>
                <w:rFonts w:eastAsia="Calibri" w:cs="Arial"/>
                <w:b/>
                <w:szCs w:val="21"/>
              </w:rPr>
              <w:t xml:space="preserve"> </w:t>
            </w:r>
            <w:r w:rsidR="00B71286" w:rsidRPr="007E5D10">
              <w:rPr>
                <w:rFonts w:eastAsia="Calibri" w:cs="Arial"/>
                <w:b/>
                <w:szCs w:val="21"/>
              </w:rPr>
              <w:t>5</w:t>
            </w:r>
            <w:r w:rsidR="00A3739B">
              <w:rPr>
                <w:rFonts w:eastAsia="Calibri" w:cs="Arial"/>
                <w:b/>
                <w:szCs w:val="21"/>
              </w:rPr>
              <w:t>11</w:t>
            </w:r>
            <w:r w:rsidR="00B71286" w:rsidRPr="007E5D10">
              <w:rPr>
                <w:rFonts w:eastAsia="Calibri" w:cs="Arial"/>
                <w:b/>
                <w:szCs w:val="21"/>
              </w:rPr>
              <w:t xml:space="preserve"> B</w:t>
            </w:r>
            <w:r w:rsidR="003263AC">
              <w:rPr>
                <w:rFonts w:eastAsia="Calibri" w:cs="Arial"/>
                <w:b/>
                <w:szCs w:val="21"/>
              </w:rPr>
              <w:t xml:space="preserve"> </w:t>
            </w:r>
            <w:r w:rsidR="003263AC" w:rsidRPr="003263AC">
              <w:rPr>
                <w:rFonts w:eastAsia="Calibri" w:cs="Arial"/>
                <w:szCs w:val="21"/>
              </w:rPr>
              <w:t>(</w:t>
            </w:r>
            <w:r w:rsidR="003263AC">
              <w:rPr>
                <w:rFonts w:eastAsia="Calibri" w:cs="Arial"/>
                <w:szCs w:val="21"/>
              </w:rPr>
              <w:t>für Gemeinden ohne Rückerstattungsverfahren).</w:t>
            </w:r>
          </w:p>
        </w:tc>
      </w:tr>
    </w:tbl>
    <w:p w:rsidR="0002543D" w:rsidRPr="00951351" w:rsidRDefault="0002543D"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B71286" w:rsidRPr="00951351" w:rsidTr="00B458F1">
        <w:trPr>
          <w:trHeight w:val="260"/>
        </w:trPr>
        <w:tc>
          <w:tcPr>
            <w:tcW w:w="1951" w:type="dxa"/>
            <w:shd w:val="clear" w:color="auto" w:fill="BFBFBF" w:themeFill="background1" w:themeFillShade="BF"/>
          </w:tcPr>
          <w:p w:rsidR="00B71286" w:rsidRDefault="00B71286" w:rsidP="00B458F1">
            <w:pPr>
              <w:pStyle w:val="GDListenummeriertrmisch"/>
              <w:numPr>
                <w:ilvl w:val="0"/>
                <w:numId w:val="0"/>
              </w:numPr>
              <w:rPr>
                <w:b/>
                <w:szCs w:val="21"/>
              </w:rPr>
            </w:pPr>
            <w:r w:rsidRPr="00951351">
              <w:rPr>
                <w:b/>
                <w:szCs w:val="21"/>
              </w:rPr>
              <w:t>Prüfung</w:t>
            </w:r>
            <w:r>
              <w:rPr>
                <w:b/>
                <w:szCs w:val="21"/>
              </w:rPr>
              <w:t xml:space="preserve"> </w:t>
            </w:r>
            <w:r w:rsidRPr="00951351">
              <w:rPr>
                <w:b/>
                <w:szCs w:val="21"/>
              </w:rPr>
              <w:t xml:space="preserve">Nr. </w:t>
            </w:r>
          </w:p>
          <w:p w:rsidR="00B71286" w:rsidRPr="00951351" w:rsidRDefault="00B71286" w:rsidP="00A3739B">
            <w:pPr>
              <w:pStyle w:val="GDListenummeriertrmisch"/>
              <w:numPr>
                <w:ilvl w:val="0"/>
                <w:numId w:val="0"/>
              </w:numPr>
              <w:rPr>
                <w:b/>
                <w:szCs w:val="21"/>
              </w:rPr>
            </w:pPr>
            <w:r w:rsidRPr="00951351">
              <w:rPr>
                <w:b/>
                <w:szCs w:val="21"/>
              </w:rPr>
              <w:t>5</w:t>
            </w:r>
            <w:r w:rsidR="00A3739B">
              <w:rPr>
                <w:b/>
                <w:szCs w:val="21"/>
              </w:rPr>
              <w:t>11</w:t>
            </w:r>
            <w:r>
              <w:rPr>
                <w:b/>
                <w:szCs w:val="21"/>
              </w:rPr>
              <w:t>A</w:t>
            </w:r>
          </w:p>
        </w:tc>
        <w:tc>
          <w:tcPr>
            <w:tcW w:w="6662" w:type="dxa"/>
            <w:gridSpan w:val="3"/>
            <w:shd w:val="clear" w:color="auto" w:fill="BFBFBF" w:themeFill="background1" w:themeFillShade="BF"/>
          </w:tcPr>
          <w:p w:rsidR="00B71286" w:rsidRPr="00951351" w:rsidRDefault="00B71286" w:rsidP="00B458F1">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B71286" w:rsidRDefault="00B71286" w:rsidP="00B458F1">
            <w:pPr>
              <w:pStyle w:val="Text"/>
              <w:tabs>
                <w:tab w:val="clear" w:pos="851"/>
              </w:tabs>
              <w:ind w:left="0"/>
              <w:rPr>
                <w:sz w:val="21"/>
                <w:szCs w:val="21"/>
                <w:lang w:val="de-DE"/>
              </w:rPr>
            </w:pPr>
            <w:r w:rsidRPr="00951351">
              <w:rPr>
                <w:sz w:val="21"/>
                <w:szCs w:val="21"/>
                <w:lang w:val="de-DE"/>
              </w:rPr>
              <w:t xml:space="preserve">Haben Zweckentfremdungen </w:t>
            </w:r>
            <w:r>
              <w:rPr>
                <w:sz w:val="21"/>
                <w:szCs w:val="21"/>
                <w:lang w:val="de-DE"/>
              </w:rPr>
              <w:t xml:space="preserve">in den </w:t>
            </w:r>
            <w:r w:rsidRPr="00951351">
              <w:rPr>
                <w:sz w:val="21"/>
                <w:szCs w:val="21"/>
                <w:lang w:val="de-DE"/>
              </w:rPr>
              <w:t>Leistungsjahr</w:t>
            </w:r>
            <w:r>
              <w:rPr>
                <w:sz w:val="21"/>
                <w:szCs w:val="21"/>
                <w:lang w:val="de-DE"/>
              </w:rPr>
              <w:t>en</w:t>
            </w:r>
            <w:r w:rsidRPr="00951351">
              <w:rPr>
                <w:sz w:val="21"/>
                <w:szCs w:val="21"/>
                <w:lang w:val="de-DE"/>
              </w:rPr>
              <w:t xml:space="preserve"> 201</w:t>
            </w:r>
            <w:r>
              <w:rPr>
                <w:sz w:val="21"/>
                <w:szCs w:val="21"/>
                <w:lang w:val="de-DE"/>
              </w:rPr>
              <w:t>5 bis 2017</w:t>
            </w:r>
            <w:r w:rsidRPr="00951351">
              <w:rPr>
                <w:sz w:val="21"/>
                <w:szCs w:val="21"/>
                <w:lang w:val="de-DE"/>
              </w:rPr>
              <w:t xml:space="preserve"> zu einer Mehrbelastung des Kantons geführt?</w:t>
            </w:r>
          </w:p>
          <w:p w:rsidR="003263AC" w:rsidRDefault="003263AC" w:rsidP="00B458F1">
            <w:pPr>
              <w:pStyle w:val="Text"/>
              <w:tabs>
                <w:tab w:val="clear" w:pos="851"/>
              </w:tabs>
              <w:ind w:left="0"/>
              <w:rPr>
                <w:sz w:val="21"/>
                <w:szCs w:val="21"/>
                <w:lang w:val="de-DE"/>
              </w:rPr>
            </w:pPr>
          </w:p>
          <w:p w:rsidR="0080021F" w:rsidRPr="00523934" w:rsidRDefault="0080021F" w:rsidP="0080021F">
            <w:pPr>
              <w:pStyle w:val="Text"/>
              <w:numPr>
                <w:ilvl w:val="0"/>
                <w:numId w:val="19"/>
              </w:numPr>
              <w:tabs>
                <w:tab w:val="clear" w:pos="851"/>
              </w:tabs>
              <w:rPr>
                <w:sz w:val="21"/>
                <w:szCs w:val="21"/>
                <w:lang w:val="de-DE"/>
              </w:rPr>
            </w:pPr>
            <w:r w:rsidRPr="0080021F">
              <w:rPr>
                <w:b/>
                <w:sz w:val="21"/>
                <w:szCs w:val="21"/>
                <w:lang w:val="de-DE"/>
              </w:rPr>
              <w:t xml:space="preserve">Für Gemeinden </w:t>
            </w:r>
            <w:r w:rsidRPr="00C70B2A">
              <w:rPr>
                <w:b/>
                <w:sz w:val="21"/>
                <w:szCs w:val="21"/>
                <w:u w:val="single"/>
                <w:lang w:val="de-DE"/>
              </w:rPr>
              <w:t>mit</w:t>
            </w:r>
            <w:r w:rsidRPr="0080021F">
              <w:rPr>
                <w:b/>
                <w:sz w:val="21"/>
                <w:szCs w:val="21"/>
                <w:lang w:val="de-DE"/>
              </w:rPr>
              <w:t xml:space="preserve"> einem Rückerstattungsverfahren</w:t>
            </w:r>
            <w:r w:rsidR="00523934">
              <w:rPr>
                <w:b/>
                <w:sz w:val="21"/>
                <w:szCs w:val="21"/>
                <w:lang w:val="de-DE"/>
              </w:rPr>
              <w:t xml:space="preserve"> </w:t>
            </w:r>
            <w:r w:rsidR="00523934" w:rsidRPr="00523934">
              <w:rPr>
                <w:sz w:val="21"/>
                <w:szCs w:val="21"/>
                <w:lang w:val="de-DE"/>
              </w:rPr>
              <w:t>(vgl. Punkt 3.7 des Leitfadens)</w:t>
            </w:r>
          </w:p>
          <w:p w:rsidR="003263AC" w:rsidRPr="00951351" w:rsidRDefault="003263AC" w:rsidP="00B458F1">
            <w:pPr>
              <w:pStyle w:val="Text"/>
              <w:tabs>
                <w:tab w:val="clear" w:pos="851"/>
              </w:tabs>
              <w:ind w:left="0"/>
              <w:rPr>
                <w:sz w:val="21"/>
                <w:szCs w:val="21"/>
                <w:lang w:val="de-DE"/>
              </w:rPr>
            </w:pPr>
          </w:p>
        </w:tc>
      </w:tr>
      <w:tr w:rsidR="00B71286" w:rsidRPr="00951351" w:rsidTr="00B458F1">
        <w:trPr>
          <w:trHeight w:val="245"/>
        </w:trPr>
        <w:tc>
          <w:tcPr>
            <w:tcW w:w="1951" w:type="dxa"/>
          </w:tcPr>
          <w:p w:rsidR="00B71286" w:rsidRPr="00951351" w:rsidRDefault="00B71286" w:rsidP="00B458F1">
            <w:pPr>
              <w:pStyle w:val="GDListenummeriertrmisch"/>
              <w:numPr>
                <w:ilvl w:val="0"/>
                <w:numId w:val="0"/>
              </w:numPr>
              <w:rPr>
                <w:szCs w:val="21"/>
              </w:rPr>
            </w:pPr>
            <w:r w:rsidRPr="00951351">
              <w:rPr>
                <w:szCs w:val="21"/>
              </w:rPr>
              <w:t>Hinweise</w:t>
            </w:r>
          </w:p>
        </w:tc>
        <w:tc>
          <w:tcPr>
            <w:tcW w:w="6662" w:type="dxa"/>
            <w:gridSpan w:val="3"/>
          </w:tcPr>
          <w:p w:rsidR="00C70B2A" w:rsidRDefault="004D5932" w:rsidP="00C70B2A">
            <w:pPr>
              <w:rPr>
                <w:rFonts w:eastAsia="Calibri" w:cs="Arial"/>
                <w:szCs w:val="21"/>
              </w:rPr>
            </w:pPr>
            <w:r>
              <w:rPr>
                <w:rFonts w:eastAsia="Calibri" w:cs="Arial"/>
                <w:szCs w:val="21"/>
              </w:rPr>
              <w:t xml:space="preserve">Werden aufgrund der Abgleiche der </w:t>
            </w:r>
            <w:r w:rsidR="00BC02B9">
              <w:rPr>
                <w:rFonts w:eastAsia="Calibri" w:cs="Arial"/>
                <w:szCs w:val="21"/>
              </w:rPr>
              <w:t xml:space="preserve">Listen </w:t>
            </w:r>
            <w:r>
              <w:rPr>
                <w:rFonts w:eastAsia="Calibri" w:cs="Arial"/>
                <w:szCs w:val="21"/>
              </w:rPr>
              <w:t xml:space="preserve">Verlustscheine </w:t>
            </w:r>
            <w:r w:rsidR="00BC02B9">
              <w:rPr>
                <w:rFonts w:eastAsia="Calibri" w:cs="Arial"/>
                <w:szCs w:val="21"/>
              </w:rPr>
              <w:t xml:space="preserve">und </w:t>
            </w:r>
            <w:r>
              <w:rPr>
                <w:rFonts w:eastAsia="Calibri" w:cs="Arial"/>
                <w:szCs w:val="21"/>
              </w:rPr>
              <w:t>Leistungen (durchgeführt entweder durch die Gemeinde oder durch die Revision</w:t>
            </w:r>
            <w:r w:rsidR="00C25FA4">
              <w:rPr>
                <w:rFonts w:eastAsia="Calibri" w:cs="Arial"/>
                <w:szCs w:val="21"/>
              </w:rPr>
              <w:t>sstelle</w:t>
            </w:r>
            <w:r>
              <w:rPr>
                <w:rFonts w:eastAsia="Calibri" w:cs="Arial"/>
                <w:szCs w:val="21"/>
              </w:rPr>
              <w:t>) Zweckentfremdungen entdeckt, werden entsprechende Rückerstattungsforderungen verfügt. Die in der ZL-Applikation erfassten Rückerstattungs</w:t>
            </w:r>
            <w:r w:rsidR="00BC02B9">
              <w:rPr>
                <w:rFonts w:eastAsia="Calibri" w:cs="Arial"/>
                <w:szCs w:val="21"/>
              </w:rPr>
              <w:t xml:space="preserve">forderungen </w:t>
            </w:r>
            <w:r>
              <w:rPr>
                <w:rFonts w:eastAsia="Calibri" w:cs="Arial"/>
                <w:szCs w:val="21"/>
              </w:rPr>
              <w:t xml:space="preserve">fliessen auch in die ZLEL-Applikation als Ertrag zugunsten des Kantons ein, sodass die Mehrkosten des Kantons </w:t>
            </w:r>
            <w:r w:rsidR="00A905BD">
              <w:rPr>
                <w:rFonts w:eastAsia="Calibri" w:cs="Arial"/>
                <w:szCs w:val="21"/>
              </w:rPr>
              <w:t xml:space="preserve">vollständig </w:t>
            </w:r>
            <w:r>
              <w:rPr>
                <w:rFonts w:eastAsia="Calibri" w:cs="Arial"/>
                <w:szCs w:val="21"/>
              </w:rPr>
              <w:t xml:space="preserve">ausgeglichen werden. </w:t>
            </w:r>
            <w:r w:rsidR="00A905BD">
              <w:rPr>
                <w:rFonts w:eastAsia="Calibri" w:cs="Arial"/>
                <w:szCs w:val="21"/>
              </w:rPr>
              <w:t xml:space="preserve">Somit erübrigen sich andere Korrekturmassnahmen zugunsten des Kantons. Diese Aussage ist ab dem Leistungsjahr 2018 wahr, da im Jahr 2018 (per 1.7.2018) </w:t>
            </w:r>
            <w:r w:rsidR="0088362F">
              <w:rPr>
                <w:rFonts w:eastAsia="Calibri" w:cs="Arial"/>
                <w:szCs w:val="21"/>
              </w:rPr>
              <w:t>für</w:t>
            </w:r>
            <w:r w:rsidR="000E3906">
              <w:rPr>
                <w:rFonts w:eastAsia="Calibri" w:cs="Arial"/>
                <w:szCs w:val="21"/>
              </w:rPr>
              <w:t xml:space="preserve"> </w:t>
            </w:r>
            <w:r w:rsidR="00BC02B9">
              <w:rPr>
                <w:rFonts w:eastAsia="Calibri" w:cs="Arial"/>
                <w:szCs w:val="21"/>
              </w:rPr>
              <w:t xml:space="preserve">ab diesem Datum verfügte </w:t>
            </w:r>
            <w:r w:rsidR="000E3906">
              <w:rPr>
                <w:rFonts w:eastAsia="Calibri" w:cs="Arial"/>
                <w:szCs w:val="21"/>
              </w:rPr>
              <w:t xml:space="preserve">Rückerstattungsforderungen </w:t>
            </w:r>
            <w:r w:rsidR="003C22D0">
              <w:rPr>
                <w:rFonts w:eastAsia="Calibri" w:cs="Arial"/>
                <w:szCs w:val="21"/>
              </w:rPr>
              <w:t>infolge von</w:t>
            </w:r>
            <w:r w:rsidR="000E3906">
              <w:rPr>
                <w:rFonts w:eastAsia="Calibri" w:cs="Arial"/>
                <w:szCs w:val="21"/>
              </w:rPr>
              <w:t xml:space="preserve"> Verlustscheinen</w:t>
            </w:r>
            <w:r w:rsidR="003C22D0">
              <w:rPr>
                <w:rFonts w:eastAsia="Calibri" w:cs="Arial"/>
                <w:szCs w:val="21"/>
              </w:rPr>
              <w:t xml:space="preserve"> ein Abschreibungsverbot gilt</w:t>
            </w:r>
            <w:r w:rsidR="00A905BD">
              <w:rPr>
                <w:rFonts w:eastAsia="Calibri" w:cs="Arial"/>
                <w:szCs w:val="21"/>
              </w:rPr>
              <w:t>.</w:t>
            </w:r>
          </w:p>
          <w:p w:rsidR="00A905BD" w:rsidRDefault="00A905BD" w:rsidP="00C70B2A">
            <w:pPr>
              <w:rPr>
                <w:rFonts w:eastAsia="Calibri" w:cs="Arial"/>
                <w:szCs w:val="21"/>
              </w:rPr>
            </w:pPr>
          </w:p>
          <w:p w:rsidR="00A905BD" w:rsidRDefault="00BC02B9" w:rsidP="00C70B2A">
            <w:pPr>
              <w:rPr>
                <w:rFonts w:eastAsia="Calibri" w:cs="Arial"/>
                <w:szCs w:val="21"/>
              </w:rPr>
            </w:pPr>
            <w:r>
              <w:rPr>
                <w:rFonts w:eastAsia="Calibri" w:cs="Arial"/>
                <w:szCs w:val="21"/>
              </w:rPr>
              <w:t>Die Revision</w:t>
            </w:r>
            <w:r w:rsidR="003C22D0">
              <w:rPr>
                <w:rFonts w:eastAsia="Calibri" w:cs="Arial"/>
                <w:szCs w:val="21"/>
              </w:rPr>
              <w:t>sstelle</w:t>
            </w:r>
            <w:r>
              <w:rPr>
                <w:rFonts w:eastAsia="Calibri" w:cs="Arial"/>
                <w:szCs w:val="21"/>
              </w:rPr>
              <w:t xml:space="preserve"> muss </w:t>
            </w:r>
            <w:r w:rsidR="0088362F">
              <w:rPr>
                <w:rFonts w:eastAsia="Calibri" w:cs="Arial"/>
                <w:szCs w:val="21"/>
              </w:rPr>
              <w:t xml:space="preserve">unter diesen Umständen </w:t>
            </w:r>
            <w:r>
              <w:rPr>
                <w:rFonts w:eastAsia="Calibri" w:cs="Arial"/>
                <w:szCs w:val="21"/>
              </w:rPr>
              <w:t xml:space="preserve">vor allem prüfen, ob die Gemeinde </w:t>
            </w:r>
            <w:r w:rsidR="0088362F">
              <w:rPr>
                <w:rFonts w:eastAsia="Calibri" w:cs="Arial"/>
                <w:szCs w:val="21"/>
              </w:rPr>
              <w:t xml:space="preserve">die </w:t>
            </w:r>
            <w:r>
              <w:rPr>
                <w:rFonts w:eastAsia="Calibri" w:cs="Arial"/>
                <w:szCs w:val="21"/>
              </w:rPr>
              <w:t xml:space="preserve">Auswertung der Verlustscheine </w:t>
            </w:r>
            <w:r w:rsidR="0088362F">
              <w:rPr>
                <w:rFonts w:eastAsia="Calibri" w:cs="Arial"/>
                <w:szCs w:val="21"/>
              </w:rPr>
              <w:t>2017 gemäss dem in der Prüfung Nr. 5</w:t>
            </w:r>
            <w:r w:rsidR="003C22D0">
              <w:rPr>
                <w:rFonts w:eastAsia="Calibri" w:cs="Arial"/>
                <w:szCs w:val="21"/>
              </w:rPr>
              <w:t>11</w:t>
            </w:r>
            <w:r w:rsidR="0088362F">
              <w:rPr>
                <w:rFonts w:eastAsia="Calibri" w:cs="Arial"/>
                <w:szCs w:val="21"/>
              </w:rPr>
              <w:t xml:space="preserve">B festgehalten Programm </w:t>
            </w:r>
            <w:r w:rsidR="003C22D0">
              <w:rPr>
                <w:rFonts w:eastAsia="Calibri" w:cs="Arial"/>
                <w:szCs w:val="21"/>
              </w:rPr>
              <w:t>der</w:t>
            </w:r>
            <w:r w:rsidR="0088362F">
              <w:rPr>
                <w:rFonts w:eastAsia="Calibri" w:cs="Arial"/>
                <w:szCs w:val="21"/>
              </w:rPr>
              <w:t xml:space="preserve"> Vollprüfungen (Vergleiche mit den Leistungen 2017, 2016 und 2015) vollständig durchgeführt hat. Hat die Gemeinde die erforderlichen Auswertungen nicht oder nur unvollständig durchgeführt, ist eine </w:t>
            </w:r>
            <w:r w:rsidR="00560B52">
              <w:rPr>
                <w:rFonts w:eastAsia="Calibri" w:cs="Arial"/>
                <w:szCs w:val="21"/>
              </w:rPr>
              <w:t xml:space="preserve">(allenfalls ergänzende) </w:t>
            </w:r>
            <w:r w:rsidR="0088362F">
              <w:rPr>
                <w:rFonts w:eastAsia="Calibri" w:cs="Arial"/>
                <w:szCs w:val="21"/>
              </w:rPr>
              <w:t>Auswe</w:t>
            </w:r>
            <w:r w:rsidR="00A70C37">
              <w:rPr>
                <w:rFonts w:eastAsia="Calibri" w:cs="Arial"/>
                <w:szCs w:val="21"/>
              </w:rPr>
              <w:t>rtung durch die Revision</w:t>
            </w:r>
            <w:r w:rsidR="003C22D0">
              <w:rPr>
                <w:rFonts w:eastAsia="Calibri" w:cs="Arial"/>
                <w:szCs w:val="21"/>
              </w:rPr>
              <w:t>sstelle</w:t>
            </w:r>
            <w:r w:rsidR="00A70C37">
              <w:rPr>
                <w:rFonts w:eastAsia="Calibri" w:cs="Arial"/>
                <w:szCs w:val="21"/>
              </w:rPr>
              <w:t xml:space="preserve"> gemäss Prüfung Nr. 5</w:t>
            </w:r>
            <w:r w:rsidR="00A3739B">
              <w:rPr>
                <w:rFonts w:eastAsia="Calibri" w:cs="Arial"/>
                <w:szCs w:val="21"/>
              </w:rPr>
              <w:t>11</w:t>
            </w:r>
            <w:r w:rsidR="00A70C37">
              <w:rPr>
                <w:rFonts w:eastAsia="Calibri" w:cs="Arial"/>
                <w:szCs w:val="21"/>
              </w:rPr>
              <w:t xml:space="preserve">B </w:t>
            </w:r>
            <w:r w:rsidR="0088362F">
              <w:rPr>
                <w:rFonts w:eastAsia="Calibri" w:cs="Arial"/>
                <w:szCs w:val="21"/>
              </w:rPr>
              <w:t>unerlässlich.</w:t>
            </w:r>
            <w:r w:rsidR="00560B52">
              <w:rPr>
                <w:rFonts w:eastAsia="Calibri" w:cs="Arial"/>
                <w:szCs w:val="21"/>
              </w:rPr>
              <w:t xml:space="preserve"> </w:t>
            </w:r>
            <w:r w:rsidR="00AD3D65">
              <w:rPr>
                <w:rFonts w:eastAsia="Calibri" w:cs="Arial"/>
                <w:szCs w:val="21"/>
              </w:rPr>
              <w:t>Gegebenenfalls führ</w:t>
            </w:r>
            <w:r w:rsidR="003C22D0">
              <w:rPr>
                <w:rFonts w:eastAsia="Calibri" w:cs="Arial"/>
                <w:szCs w:val="21"/>
              </w:rPr>
              <w:t>en</w:t>
            </w:r>
            <w:r w:rsidR="00AD3D65">
              <w:rPr>
                <w:rFonts w:eastAsia="Calibri" w:cs="Arial"/>
                <w:szCs w:val="21"/>
              </w:rPr>
              <w:t xml:space="preserve"> die durch die Revision</w:t>
            </w:r>
            <w:r w:rsidR="00DE4046">
              <w:rPr>
                <w:rFonts w:eastAsia="Calibri" w:cs="Arial"/>
                <w:szCs w:val="21"/>
              </w:rPr>
              <w:t>sstelle</w:t>
            </w:r>
            <w:r w:rsidR="00AD3D65">
              <w:rPr>
                <w:rFonts w:eastAsia="Calibri" w:cs="Arial"/>
                <w:szCs w:val="21"/>
              </w:rPr>
              <w:t xml:space="preserve"> entdeckte Zweckentfremdungen nicht zu einer Subventionskürzung, sondern </w:t>
            </w:r>
            <w:r w:rsidR="003C22D0">
              <w:rPr>
                <w:rFonts w:eastAsia="Calibri" w:cs="Arial"/>
                <w:szCs w:val="21"/>
              </w:rPr>
              <w:t>geben dazu Anlass, e</w:t>
            </w:r>
            <w:r w:rsidR="00AD3D65">
              <w:rPr>
                <w:rFonts w:eastAsia="Calibri" w:cs="Arial"/>
                <w:szCs w:val="21"/>
              </w:rPr>
              <w:t>ntsprechende Rückerstattungsforderungen zu verfügen.</w:t>
            </w:r>
          </w:p>
          <w:p w:rsidR="003C22D0" w:rsidRDefault="003C22D0" w:rsidP="00C70B2A">
            <w:pPr>
              <w:rPr>
                <w:rFonts w:eastAsia="Calibri" w:cs="Arial"/>
                <w:szCs w:val="21"/>
              </w:rPr>
            </w:pPr>
          </w:p>
          <w:p w:rsidR="003C22D0" w:rsidRDefault="004449F9" w:rsidP="00C70B2A">
            <w:pPr>
              <w:rPr>
                <w:rFonts w:eastAsia="Calibri" w:cs="Arial"/>
                <w:szCs w:val="21"/>
              </w:rPr>
            </w:pPr>
            <w:r>
              <w:rPr>
                <w:rFonts w:eastAsia="Calibri" w:cs="Arial"/>
                <w:szCs w:val="21"/>
              </w:rPr>
              <w:t xml:space="preserve">Die Stadt Zürich hat als </w:t>
            </w:r>
            <w:r w:rsidR="00E6724F">
              <w:rPr>
                <w:rFonts w:eastAsia="Calibri" w:cs="Arial"/>
                <w:szCs w:val="21"/>
              </w:rPr>
              <w:t>Entwickler</w:t>
            </w:r>
            <w:r w:rsidR="00DA2A5A">
              <w:rPr>
                <w:rFonts w:eastAsia="Calibri" w:cs="Arial"/>
                <w:szCs w:val="21"/>
              </w:rPr>
              <w:t>in</w:t>
            </w:r>
            <w:r w:rsidR="00E6724F">
              <w:rPr>
                <w:rFonts w:eastAsia="Calibri" w:cs="Arial"/>
                <w:szCs w:val="21"/>
              </w:rPr>
              <w:t xml:space="preserve"> der </w:t>
            </w:r>
            <w:r w:rsidR="00DA2A5A">
              <w:rPr>
                <w:rFonts w:eastAsia="Calibri" w:cs="Arial"/>
                <w:szCs w:val="21"/>
              </w:rPr>
              <w:t>ZUSO/</w:t>
            </w:r>
            <w:proofErr w:type="spellStart"/>
            <w:r w:rsidR="00DA2A5A">
              <w:rPr>
                <w:rFonts w:eastAsia="Calibri" w:cs="Arial"/>
                <w:szCs w:val="21"/>
              </w:rPr>
              <w:t>ZLPro</w:t>
            </w:r>
            <w:proofErr w:type="spellEnd"/>
            <w:r w:rsidR="00DA2A5A">
              <w:rPr>
                <w:rFonts w:eastAsia="Calibri" w:cs="Arial"/>
                <w:szCs w:val="21"/>
              </w:rPr>
              <w:t>-</w:t>
            </w:r>
            <w:r>
              <w:rPr>
                <w:rFonts w:eastAsia="Calibri" w:cs="Arial"/>
                <w:szCs w:val="21"/>
              </w:rPr>
              <w:t>Applikation</w:t>
            </w:r>
            <w:r w:rsidR="00E6724F">
              <w:rPr>
                <w:rFonts w:eastAsia="Calibri" w:cs="Arial"/>
                <w:szCs w:val="21"/>
              </w:rPr>
              <w:t xml:space="preserve"> </w:t>
            </w:r>
            <w:r>
              <w:rPr>
                <w:rFonts w:eastAsia="Calibri" w:cs="Arial"/>
                <w:szCs w:val="21"/>
              </w:rPr>
              <w:t xml:space="preserve">und im Einvernehmen mit dem Kanton den </w:t>
            </w:r>
            <w:r w:rsidR="00195D13">
              <w:rPr>
                <w:rFonts w:eastAsia="Calibri" w:cs="Arial"/>
                <w:szCs w:val="21"/>
              </w:rPr>
              <w:t xml:space="preserve">Prozess </w:t>
            </w:r>
            <w:r>
              <w:rPr>
                <w:rFonts w:eastAsia="Calibri" w:cs="Arial"/>
                <w:szCs w:val="21"/>
              </w:rPr>
              <w:t xml:space="preserve">zur Abwicklung der Verlustscheine infolge </w:t>
            </w:r>
            <w:r w:rsidR="009A5C0C">
              <w:rPr>
                <w:rFonts w:eastAsia="Calibri" w:cs="Arial"/>
                <w:szCs w:val="21"/>
              </w:rPr>
              <w:t>einer</w:t>
            </w:r>
            <w:r>
              <w:rPr>
                <w:rFonts w:eastAsia="Calibri" w:cs="Arial"/>
                <w:szCs w:val="21"/>
              </w:rPr>
              <w:t xml:space="preserve"> Zweckentfremdung ab 1.7.2018 da</w:t>
            </w:r>
            <w:r>
              <w:rPr>
                <w:rFonts w:eastAsia="Calibri" w:cs="Arial"/>
                <w:szCs w:val="21"/>
              </w:rPr>
              <w:lastRenderedPageBreak/>
              <w:t>hin</w:t>
            </w:r>
            <w:r w:rsidR="00DA2798">
              <w:rPr>
                <w:rFonts w:eastAsia="Calibri" w:cs="Arial"/>
                <w:szCs w:val="21"/>
              </w:rPr>
              <w:t>gehend</w:t>
            </w:r>
            <w:r>
              <w:rPr>
                <w:rFonts w:eastAsia="Calibri" w:cs="Arial"/>
                <w:szCs w:val="21"/>
              </w:rPr>
              <w:t xml:space="preserve"> geändert, dass </w:t>
            </w:r>
            <w:r w:rsidR="00637BDC">
              <w:rPr>
                <w:rFonts w:eastAsia="Calibri" w:cs="Arial"/>
                <w:szCs w:val="21"/>
              </w:rPr>
              <w:t>die</w:t>
            </w:r>
            <w:r w:rsidR="00E6724F">
              <w:rPr>
                <w:rFonts w:eastAsia="Calibri" w:cs="Arial"/>
                <w:szCs w:val="21"/>
              </w:rPr>
              <w:t xml:space="preserve"> Verfügung einer </w:t>
            </w:r>
            <w:r>
              <w:rPr>
                <w:rFonts w:eastAsia="Calibri" w:cs="Arial"/>
                <w:szCs w:val="21"/>
              </w:rPr>
              <w:t xml:space="preserve">Rückerstattungsforderung </w:t>
            </w:r>
            <w:r w:rsidR="00637BDC">
              <w:rPr>
                <w:rFonts w:eastAsia="Calibri" w:cs="Arial"/>
                <w:szCs w:val="21"/>
              </w:rPr>
              <w:t xml:space="preserve">mit einer </w:t>
            </w:r>
            <w:r>
              <w:rPr>
                <w:rFonts w:eastAsia="Calibri" w:cs="Arial"/>
                <w:szCs w:val="21"/>
              </w:rPr>
              <w:t xml:space="preserve">Zahlung an das Betreibungsamt in der Höhe </w:t>
            </w:r>
            <w:r w:rsidR="00E6724F">
              <w:rPr>
                <w:rFonts w:eastAsia="Calibri" w:cs="Arial"/>
                <w:szCs w:val="21"/>
              </w:rPr>
              <w:t>d</w:t>
            </w:r>
            <w:r>
              <w:rPr>
                <w:rFonts w:eastAsia="Calibri" w:cs="Arial"/>
                <w:szCs w:val="21"/>
              </w:rPr>
              <w:t xml:space="preserve">er zweckentfremdeten RDP </w:t>
            </w:r>
            <w:r w:rsidR="00637BDC">
              <w:rPr>
                <w:rFonts w:eastAsia="Calibri" w:cs="Arial"/>
                <w:szCs w:val="21"/>
              </w:rPr>
              <w:t>einhergeht</w:t>
            </w:r>
            <w:r w:rsidR="00E6724F">
              <w:rPr>
                <w:rFonts w:eastAsia="Calibri" w:cs="Arial"/>
                <w:szCs w:val="21"/>
              </w:rPr>
              <w:t xml:space="preserve">. </w:t>
            </w:r>
            <w:r w:rsidR="007F3D1D">
              <w:rPr>
                <w:rFonts w:eastAsia="Calibri" w:cs="Arial"/>
                <w:szCs w:val="21"/>
              </w:rPr>
              <w:t xml:space="preserve">Solche </w:t>
            </w:r>
            <w:r w:rsidR="00DA2798">
              <w:rPr>
                <w:rFonts w:eastAsia="Calibri" w:cs="Arial"/>
                <w:szCs w:val="21"/>
              </w:rPr>
              <w:t>Zahlung</w:t>
            </w:r>
            <w:r w:rsidR="007F3D1D">
              <w:rPr>
                <w:rFonts w:eastAsia="Calibri" w:cs="Arial"/>
                <w:szCs w:val="21"/>
              </w:rPr>
              <w:t>en</w:t>
            </w:r>
            <w:r w:rsidR="00DA2798">
              <w:rPr>
                <w:rFonts w:eastAsia="Calibri" w:cs="Arial"/>
                <w:szCs w:val="21"/>
              </w:rPr>
              <w:t xml:space="preserve"> an das Betreibungsamt </w:t>
            </w:r>
            <w:r w:rsidR="007F3D1D">
              <w:rPr>
                <w:rFonts w:eastAsia="Calibri" w:cs="Arial"/>
                <w:szCs w:val="21"/>
              </w:rPr>
              <w:t>sind</w:t>
            </w:r>
            <w:r w:rsidR="00DA2798">
              <w:rPr>
                <w:rFonts w:eastAsia="Calibri" w:cs="Arial"/>
                <w:szCs w:val="21"/>
              </w:rPr>
              <w:t xml:space="preserve"> </w:t>
            </w:r>
            <w:r w:rsidR="007F3D1D">
              <w:rPr>
                <w:rFonts w:eastAsia="Calibri" w:cs="Arial"/>
                <w:szCs w:val="21"/>
              </w:rPr>
              <w:t>aus</w:t>
            </w:r>
            <w:r w:rsidR="00DA2798">
              <w:rPr>
                <w:rFonts w:eastAsia="Calibri" w:cs="Arial"/>
                <w:szCs w:val="21"/>
              </w:rPr>
              <w:t xml:space="preserve"> Gemeindemittel</w:t>
            </w:r>
            <w:r w:rsidR="007F3D1D">
              <w:rPr>
                <w:rFonts w:eastAsia="Calibri" w:cs="Arial"/>
                <w:szCs w:val="21"/>
              </w:rPr>
              <w:t>n</w:t>
            </w:r>
            <w:r w:rsidR="00DA2798">
              <w:rPr>
                <w:rFonts w:eastAsia="Calibri" w:cs="Arial"/>
                <w:szCs w:val="21"/>
              </w:rPr>
              <w:t xml:space="preserve"> </w:t>
            </w:r>
            <w:r w:rsidR="007F3D1D">
              <w:rPr>
                <w:rFonts w:eastAsia="Calibri" w:cs="Arial"/>
                <w:szCs w:val="21"/>
              </w:rPr>
              <w:t xml:space="preserve">zu </w:t>
            </w:r>
            <w:r w:rsidR="00DA2798">
              <w:rPr>
                <w:rFonts w:eastAsia="Calibri" w:cs="Arial"/>
                <w:szCs w:val="21"/>
              </w:rPr>
              <w:t>finanzier</w:t>
            </w:r>
            <w:r w:rsidR="007F3D1D">
              <w:rPr>
                <w:rFonts w:eastAsia="Calibri" w:cs="Arial"/>
                <w:szCs w:val="21"/>
              </w:rPr>
              <w:t xml:space="preserve">en. Da aber 50% der Erträge aus der Bewirtschaftung der Verlustscheine an den Kanton zurückfliesst, darf die Gemeinde 50% der Zahlungen an das Betreibungsamt beim Kanton geltend machen. Diese Rückerstattung an die Gemeinde erfolgt </w:t>
            </w:r>
            <w:r w:rsidR="00636C9F">
              <w:rPr>
                <w:rFonts w:eastAsia="Calibri" w:cs="Arial"/>
                <w:szCs w:val="21"/>
              </w:rPr>
              <w:t>über einen Eintrag der Revisionsstelle als Korrekturbetrag zugunsten der Gemeinde in d</w:t>
            </w:r>
            <w:r w:rsidR="00BE1C47">
              <w:rPr>
                <w:rFonts w:eastAsia="Calibri" w:cs="Arial"/>
                <w:szCs w:val="21"/>
              </w:rPr>
              <w:t>ie</w:t>
            </w:r>
            <w:r w:rsidR="00636C9F">
              <w:rPr>
                <w:rFonts w:eastAsia="Calibri" w:cs="Arial"/>
                <w:szCs w:val="21"/>
              </w:rPr>
              <w:t xml:space="preserve"> Beilage 1. </w:t>
            </w:r>
            <w:r w:rsidR="00BD6902">
              <w:rPr>
                <w:rFonts w:eastAsia="Calibri" w:cs="Arial"/>
                <w:szCs w:val="21"/>
              </w:rPr>
              <w:t xml:space="preserve">Die Gemeinde stellt der Revision zu diesem Zweck eine Liste mit den relevanten Zahlungen an das Betreibungsamt zur Verfügung. </w:t>
            </w:r>
            <w:r w:rsidR="00636C9F">
              <w:rPr>
                <w:rFonts w:eastAsia="Calibri" w:cs="Arial"/>
                <w:szCs w:val="21"/>
              </w:rPr>
              <w:t xml:space="preserve">Die Revisionsstelle </w:t>
            </w:r>
            <w:r w:rsidR="00BD6902">
              <w:rPr>
                <w:rFonts w:eastAsia="Calibri" w:cs="Arial"/>
                <w:szCs w:val="21"/>
              </w:rPr>
              <w:t>prüf</w:t>
            </w:r>
            <w:r w:rsidR="00BE1C47">
              <w:rPr>
                <w:rFonts w:eastAsia="Calibri" w:cs="Arial"/>
                <w:szCs w:val="21"/>
              </w:rPr>
              <w:t>t</w:t>
            </w:r>
            <w:r w:rsidR="00BD6902">
              <w:rPr>
                <w:rFonts w:eastAsia="Calibri" w:cs="Arial"/>
                <w:szCs w:val="21"/>
              </w:rPr>
              <w:t xml:space="preserve"> die Liste. </w:t>
            </w:r>
            <w:r w:rsidR="00552309">
              <w:rPr>
                <w:rFonts w:eastAsia="Calibri" w:cs="Arial"/>
                <w:szCs w:val="21"/>
              </w:rPr>
              <w:t xml:space="preserve">Hat das Betreibungsamt das Geld retourniert, weil der Schuldner oder eine dritte Person die Prämienausstände bereits beglichen hat, darf diese Zahlung trotzdem geltend gemacht werden, da die RDP über einen anderen Weg zu gewährleisten ist </w:t>
            </w:r>
            <w:r w:rsidR="007E2FF5">
              <w:rPr>
                <w:rFonts w:eastAsia="Calibri" w:cs="Arial"/>
                <w:szCs w:val="21"/>
              </w:rPr>
              <w:t xml:space="preserve">(dies ist auch Gegenstand der Prüfung) </w:t>
            </w:r>
            <w:r w:rsidR="00552309">
              <w:rPr>
                <w:rFonts w:eastAsia="Calibri" w:cs="Arial"/>
                <w:szCs w:val="21"/>
              </w:rPr>
              <w:t>und der Versicherer dem Kanton 50% der durch den Schuldner getätigte</w:t>
            </w:r>
            <w:r w:rsidR="00F8184A">
              <w:rPr>
                <w:rFonts w:eastAsia="Calibri" w:cs="Arial"/>
                <w:szCs w:val="21"/>
              </w:rPr>
              <w:t>n</w:t>
            </w:r>
            <w:r w:rsidR="00552309">
              <w:rPr>
                <w:rFonts w:eastAsia="Calibri" w:cs="Arial"/>
                <w:szCs w:val="21"/>
              </w:rPr>
              <w:t xml:space="preserve"> </w:t>
            </w:r>
            <w:r w:rsidR="005070D2">
              <w:rPr>
                <w:rFonts w:eastAsia="Calibri" w:cs="Arial"/>
                <w:szCs w:val="21"/>
              </w:rPr>
              <w:t>Begleichung</w:t>
            </w:r>
            <w:r w:rsidR="00552309">
              <w:rPr>
                <w:rFonts w:eastAsia="Calibri" w:cs="Arial"/>
                <w:szCs w:val="21"/>
              </w:rPr>
              <w:t xml:space="preserve"> rückerstattet hat.</w:t>
            </w:r>
            <w:r w:rsidR="004B2B2D">
              <w:rPr>
                <w:rFonts w:eastAsia="Calibri" w:cs="Arial"/>
                <w:szCs w:val="21"/>
              </w:rPr>
              <w:t xml:space="preserve"> Die Revision </w:t>
            </w:r>
            <w:r w:rsidR="00BD6902">
              <w:rPr>
                <w:rFonts w:eastAsia="Calibri" w:cs="Arial"/>
                <w:szCs w:val="21"/>
              </w:rPr>
              <w:t>achtet bei der Prüfung darauf, d</w:t>
            </w:r>
            <w:r w:rsidR="004B2B2D">
              <w:rPr>
                <w:rFonts w:eastAsia="Calibri" w:cs="Arial"/>
                <w:szCs w:val="21"/>
              </w:rPr>
              <w:t xml:space="preserve">ass nur Fälle mit </w:t>
            </w:r>
            <w:r w:rsidR="005070D2">
              <w:rPr>
                <w:rFonts w:eastAsia="Calibri" w:cs="Arial"/>
                <w:szCs w:val="21"/>
              </w:rPr>
              <w:t>Verlustschein und aufgrund einer Zw</w:t>
            </w:r>
            <w:r w:rsidR="004B2B2D">
              <w:rPr>
                <w:rFonts w:eastAsia="Calibri" w:cs="Arial"/>
                <w:szCs w:val="21"/>
              </w:rPr>
              <w:t>eckentfremd</w:t>
            </w:r>
            <w:r w:rsidR="005070D2">
              <w:rPr>
                <w:rFonts w:eastAsia="Calibri" w:cs="Arial"/>
                <w:szCs w:val="21"/>
              </w:rPr>
              <w:t>ung der RD</w:t>
            </w:r>
            <w:r w:rsidR="004B2B2D">
              <w:rPr>
                <w:rFonts w:eastAsia="Calibri" w:cs="Arial"/>
                <w:szCs w:val="21"/>
              </w:rPr>
              <w:t>P gemeldet wurden.</w:t>
            </w:r>
          </w:p>
          <w:p w:rsidR="003C22D0" w:rsidRDefault="003C22D0" w:rsidP="00C70B2A">
            <w:pPr>
              <w:rPr>
                <w:rFonts w:eastAsia="Calibri" w:cs="Arial"/>
                <w:szCs w:val="21"/>
              </w:rPr>
            </w:pPr>
          </w:p>
          <w:p w:rsidR="00C70B2A" w:rsidRPr="00951351" w:rsidRDefault="00C70B2A" w:rsidP="00C70B2A">
            <w:pPr>
              <w:rPr>
                <w:rFonts w:eastAsia="Calibri" w:cs="Arial"/>
                <w:szCs w:val="21"/>
              </w:rPr>
            </w:pPr>
          </w:p>
        </w:tc>
      </w:tr>
      <w:tr w:rsidR="00B71286" w:rsidRPr="00951351" w:rsidTr="00B458F1">
        <w:trPr>
          <w:trHeight w:val="260"/>
        </w:trPr>
        <w:tc>
          <w:tcPr>
            <w:tcW w:w="1951" w:type="dxa"/>
          </w:tcPr>
          <w:p w:rsidR="00B71286" w:rsidRPr="00951351" w:rsidRDefault="00B71286" w:rsidP="00B458F1">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B71286" w:rsidRPr="00951351" w:rsidRDefault="00AA0D06" w:rsidP="00B458F1">
            <w:pPr>
              <w:pStyle w:val="GDListenummeriertrmisch"/>
              <w:numPr>
                <w:ilvl w:val="0"/>
                <w:numId w:val="0"/>
              </w:numPr>
              <w:tabs>
                <w:tab w:val="center" w:pos="263"/>
              </w:tabs>
              <w:ind w:left="275" w:hanging="275"/>
            </w:pPr>
            <w:sdt>
              <w:sdtPr>
                <w:id w:val="828946949"/>
                <w14:checkbox>
                  <w14:checked w14:val="0"/>
                  <w14:checkedState w14:val="2612" w14:font="MS Gothic"/>
                  <w14:uncheckedState w14:val="2610" w14:font="MS Gothic"/>
                </w14:checkbox>
              </w:sdtPr>
              <w:sdtEndPr/>
              <w:sdtContent>
                <w:r w:rsidR="00B71286" w:rsidRPr="00951351">
                  <w:rPr>
                    <w:rFonts w:hint="eastAsia"/>
                  </w:rPr>
                  <w:t>☐</w:t>
                </w:r>
              </w:sdtContent>
            </w:sdt>
            <w:r w:rsidR="00B71286" w:rsidRPr="00951351">
              <w:tab/>
              <w:t xml:space="preserve"> </w:t>
            </w:r>
            <w:proofErr w:type="spellStart"/>
            <w:r w:rsidR="00B71286" w:rsidRPr="00951351">
              <w:t>i.O</w:t>
            </w:r>
            <w:proofErr w:type="spellEnd"/>
            <w:r w:rsidR="00B71286" w:rsidRPr="00951351">
              <w:t>.</w:t>
            </w:r>
          </w:p>
        </w:tc>
        <w:tc>
          <w:tcPr>
            <w:tcW w:w="2977" w:type="dxa"/>
            <w:shd w:val="clear" w:color="auto" w:fill="BFBFBF" w:themeFill="background1" w:themeFillShade="BF"/>
          </w:tcPr>
          <w:p w:rsidR="00B71286" w:rsidRPr="00951351" w:rsidRDefault="00AA0D06" w:rsidP="00B458F1">
            <w:pPr>
              <w:pStyle w:val="GDListenummeriertrmisch"/>
              <w:numPr>
                <w:ilvl w:val="0"/>
                <w:numId w:val="0"/>
              </w:numPr>
              <w:tabs>
                <w:tab w:val="center" w:pos="263"/>
              </w:tabs>
              <w:ind w:left="275" w:hanging="275"/>
            </w:pPr>
            <w:sdt>
              <w:sdtPr>
                <w:id w:val="-1280641604"/>
                <w14:checkbox>
                  <w14:checked w14:val="0"/>
                  <w14:checkedState w14:val="2612" w14:font="MS Gothic"/>
                  <w14:uncheckedState w14:val="2610" w14:font="MS Gothic"/>
                </w14:checkbox>
              </w:sdtPr>
              <w:sdtEndPr/>
              <w:sdtContent>
                <w:r w:rsidR="00B71286" w:rsidRPr="00951351">
                  <w:rPr>
                    <w:rFonts w:hint="eastAsia"/>
                  </w:rPr>
                  <w:t>☐</w:t>
                </w:r>
              </w:sdtContent>
            </w:sdt>
            <w:r w:rsidR="00B71286" w:rsidRPr="00951351">
              <w:tab/>
              <w:t xml:space="preserve"> wesentliche Feststellungen Korrekturbeträge sind in der Beilage 1 erfasst</w:t>
            </w:r>
          </w:p>
        </w:tc>
        <w:tc>
          <w:tcPr>
            <w:tcW w:w="2693" w:type="dxa"/>
            <w:shd w:val="clear" w:color="auto" w:fill="BFBFBF" w:themeFill="background1" w:themeFillShade="BF"/>
          </w:tcPr>
          <w:p w:rsidR="00B71286" w:rsidRPr="00951351" w:rsidRDefault="00AA0D06" w:rsidP="00B458F1">
            <w:pPr>
              <w:pStyle w:val="GDListenummeriertrmisch"/>
              <w:numPr>
                <w:ilvl w:val="0"/>
                <w:numId w:val="0"/>
              </w:numPr>
              <w:tabs>
                <w:tab w:val="center" w:pos="263"/>
                <w:tab w:val="center" w:pos="361"/>
                <w:tab w:val="center" w:pos="977"/>
              </w:tabs>
              <w:ind w:left="275" w:hanging="275"/>
            </w:pPr>
            <w:sdt>
              <w:sdtPr>
                <w:id w:val="-1838764250"/>
                <w14:checkbox>
                  <w14:checked w14:val="0"/>
                  <w14:checkedState w14:val="2612" w14:font="MS Gothic"/>
                  <w14:uncheckedState w14:val="2610" w14:font="MS Gothic"/>
                </w14:checkbox>
              </w:sdtPr>
              <w:sdtEndPr/>
              <w:sdtContent>
                <w:r w:rsidR="00B71286" w:rsidRPr="00951351">
                  <w:rPr>
                    <w:rFonts w:hint="eastAsia"/>
                  </w:rPr>
                  <w:t>☐</w:t>
                </w:r>
              </w:sdtContent>
            </w:sdt>
            <w:r w:rsidR="00B71286" w:rsidRPr="00951351">
              <w:tab/>
            </w:r>
            <w:r w:rsidR="00B71286" w:rsidRPr="00951351">
              <w:tab/>
              <w:t>wesentliche Feststellungen (ohne Korrekturbetrag)*</w:t>
            </w:r>
          </w:p>
        </w:tc>
      </w:tr>
      <w:tr w:rsidR="00B71286" w:rsidRPr="00951351" w:rsidTr="00B458F1">
        <w:trPr>
          <w:trHeight w:val="260"/>
        </w:trPr>
        <w:tc>
          <w:tcPr>
            <w:tcW w:w="1951" w:type="dxa"/>
          </w:tcPr>
          <w:p w:rsidR="00B71286" w:rsidRPr="00951351" w:rsidRDefault="00B71286" w:rsidP="00B458F1">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71286" w:rsidRPr="00951351" w:rsidRDefault="00B71286" w:rsidP="00B458F1">
            <w:pPr>
              <w:pStyle w:val="GDListenummeriertrmisch"/>
              <w:numPr>
                <w:ilvl w:val="0"/>
                <w:numId w:val="0"/>
              </w:numPr>
              <w:rPr>
                <w:szCs w:val="21"/>
              </w:rPr>
            </w:pPr>
          </w:p>
        </w:tc>
      </w:tr>
    </w:tbl>
    <w:p w:rsidR="00BA3EDD" w:rsidRDefault="00BA3EDD"/>
    <w:tbl>
      <w:tblPr>
        <w:tblStyle w:val="Tabellenraster"/>
        <w:tblW w:w="8613" w:type="dxa"/>
        <w:tblLook w:val="04A0" w:firstRow="1" w:lastRow="0" w:firstColumn="1" w:lastColumn="0" w:noHBand="0" w:noVBand="1"/>
      </w:tblPr>
      <w:tblGrid>
        <w:gridCol w:w="1951"/>
        <w:gridCol w:w="992"/>
        <w:gridCol w:w="2977"/>
        <w:gridCol w:w="2693"/>
      </w:tblGrid>
      <w:tr w:rsidR="002A43A2" w:rsidRPr="00951351" w:rsidTr="00B458F1">
        <w:trPr>
          <w:trHeight w:val="260"/>
        </w:trPr>
        <w:tc>
          <w:tcPr>
            <w:tcW w:w="1951" w:type="dxa"/>
            <w:shd w:val="clear" w:color="auto" w:fill="BFBFBF" w:themeFill="background1" w:themeFillShade="BF"/>
          </w:tcPr>
          <w:p w:rsidR="002A43A2" w:rsidRDefault="002A43A2" w:rsidP="00B458F1">
            <w:pPr>
              <w:pStyle w:val="GDListenummeriertrmisch"/>
              <w:numPr>
                <w:ilvl w:val="0"/>
                <w:numId w:val="0"/>
              </w:numPr>
              <w:rPr>
                <w:b/>
                <w:szCs w:val="21"/>
              </w:rPr>
            </w:pPr>
            <w:r w:rsidRPr="00951351">
              <w:rPr>
                <w:b/>
                <w:szCs w:val="21"/>
              </w:rPr>
              <w:t>Prüfung</w:t>
            </w:r>
            <w:r>
              <w:rPr>
                <w:b/>
                <w:szCs w:val="21"/>
              </w:rPr>
              <w:t xml:space="preserve"> </w:t>
            </w:r>
            <w:r w:rsidRPr="00951351">
              <w:rPr>
                <w:b/>
                <w:szCs w:val="21"/>
              </w:rPr>
              <w:t xml:space="preserve">Nr. </w:t>
            </w:r>
          </w:p>
          <w:p w:rsidR="002A43A2" w:rsidRPr="00951351" w:rsidRDefault="002A43A2" w:rsidP="00A3739B">
            <w:pPr>
              <w:pStyle w:val="GDListenummeriertrmisch"/>
              <w:numPr>
                <w:ilvl w:val="0"/>
                <w:numId w:val="0"/>
              </w:numPr>
              <w:rPr>
                <w:b/>
                <w:szCs w:val="21"/>
              </w:rPr>
            </w:pPr>
            <w:r w:rsidRPr="00951351">
              <w:rPr>
                <w:b/>
                <w:szCs w:val="21"/>
              </w:rPr>
              <w:t>5</w:t>
            </w:r>
            <w:r w:rsidR="00A3739B">
              <w:rPr>
                <w:b/>
                <w:szCs w:val="21"/>
              </w:rPr>
              <w:t>11</w:t>
            </w:r>
            <w:r>
              <w:rPr>
                <w:b/>
                <w:szCs w:val="21"/>
              </w:rPr>
              <w:t>B</w:t>
            </w:r>
          </w:p>
        </w:tc>
        <w:tc>
          <w:tcPr>
            <w:tcW w:w="6662" w:type="dxa"/>
            <w:gridSpan w:val="3"/>
            <w:shd w:val="clear" w:color="auto" w:fill="BFBFBF" w:themeFill="background1" w:themeFillShade="BF"/>
          </w:tcPr>
          <w:p w:rsidR="002A43A2" w:rsidRPr="00951351" w:rsidRDefault="002A43A2" w:rsidP="00B458F1">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2A43A2" w:rsidRDefault="002A43A2" w:rsidP="00B458F1">
            <w:pPr>
              <w:pStyle w:val="Text"/>
              <w:tabs>
                <w:tab w:val="clear" w:pos="851"/>
              </w:tabs>
              <w:ind w:left="0"/>
              <w:rPr>
                <w:sz w:val="21"/>
                <w:szCs w:val="21"/>
                <w:lang w:val="de-DE"/>
              </w:rPr>
            </w:pPr>
            <w:r w:rsidRPr="00951351">
              <w:rPr>
                <w:sz w:val="21"/>
                <w:szCs w:val="21"/>
                <w:lang w:val="de-DE"/>
              </w:rPr>
              <w:t xml:space="preserve">Haben Zweckentfremdungen </w:t>
            </w:r>
            <w:r>
              <w:rPr>
                <w:sz w:val="21"/>
                <w:szCs w:val="21"/>
                <w:lang w:val="de-DE"/>
              </w:rPr>
              <w:t xml:space="preserve">in den </w:t>
            </w:r>
            <w:r w:rsidRPr="00951351">
              <w:rPr>
                <w:sz w:val="21"/>
                <w:szCs w:val="21"/>
                <w:lang w:val="de-DE"/>
              </w:rPr>
              <w:t>Leistungsjahr</w:t>
            </w:r>
            <w:r>
              <w:rPr>
                <w:sz w:val="21"/>
                <w:szCs w:val="21"/>
                <w:lang w:val="de-DE"/>
              </w:rPr>
              <w:t>en</w:t>
            </w:r>
            <w:r w:rsidRPr="00951351">
              <w:rPr>
                <w:sz w:val="21"/>
                <w:szCs w:val="21"/>
                <w:lang w:val="de-DE"/>
              </w:rPr>
              <w:t xml:space="preserve"> 201</w:t>
            </w:r>
            <w:r>
              <w:rPr>
                <w:sz w:val="21"/>
                <w:szCs w:val="21"/>
                <w:lang w:val="de-DE"/>
              </w:rPr>
              <w:t>5 bis 2017</w:t>
            </w:r>
            <w:r w:rsidRPr="00951351">
              <w:rPr>
                <w:sz w:val="21"/>
                <w:szCs w:val="21"/>
                <w:lang w:val="de-DE"/>
              </w:rPr>
              <w:t xml:space="preserve"> zu einer Mehrbelastung des Kantons geführt?</w:t>
            </w:r>
          </w:p>
          <w:p w:rsidR="002A43A2" w:rsidRDefault="002A43A2" w:rsidP="00B458F1">
            <w:pPr>
              <w:pStyle w:val="Text"/>
              <w:tabs>
                <w:tab w:val="clear" w:pos="851"/>
              </w:tabs>
              <w:ind w:left="0"/>
              <w:rPr>
                <w:sz w:val="21"/>
                <w:szCs w:val="21"/>
                <w:lang w:val="de-DE"/>
              </w:rPr>
            </w:pPr>
          </w:p>
          <w:p w:rsidR="002A43A2" w:rsidRPr="00523934" w:rsidRDefault="002A43A2" w:rsidP="00B458F1">
            <w:pPr>
              <w:pStyle w:val="Text"/>
              <w:numPr>
                <w:ilvl w:val="0"/>
                <w:numId w:val="19"/>
              </w:numPr>
              <w:tabs>
                <w:tab w:val="clear" w:pos="851"/>
              </w:tabs>
              <w:rPr>
                <w:sz w:val="21"/>
                <w:szCs w:val="21"/>
                <w:lang w:val="de-DE"/>
              </w:rPr>
            </w:pPr>
            <w:r w:rsidRPr="0080021F">
              <w:rPr>
                <w:b/>
                <w:sz w:val="21"/>
                <w:szCs w:val="21"/>
                <w:lang w:val="de-DE"/>
              </w:rPr>
              <w:t xml:space="preserve">Für Gemeinden </w:t>
            </w:r>
            <w:r w:rsidRPr="00C70B2A">
              <w:rPr>
                <w:b/>
                <w:sz w:val="21"/>
                <w:szCs w:val="21"/>
                <w:u w:val="single"/>
                <w:lang w:val="de-DE"/>
              </w:rPr>
              <w:t>ohne</w:t>
            </w:r>
            <w:r>
              <w:rPr>
                <w:b/>
                <w:sz w:val="21"/>
                <w:szCs w:val="21"/>
                <w:lang w:val="de-DE"/>
              </w:rPr>
              <w:t xml:space="preserve"> </w:t>
            </w:r>
            <w:r w:rsidRPr="0080021F">
              <w:rPr>
                <w:b/>
                <w:sz w:val="21"/>
                <w:szCs w:val="21"/>
                <w:lang w:val="de-DE"/>
              </w:rPr>
              <w:t>Rückerstattungsverfahren</w:t>
            </w:r>
            <w:r>
              <w:rPr>
                <w:b/>
                <w:sz w:val="21"/>
                <w:szCs w:val="21"/>
                <w:lang w:val="de-DE"/>
              </w:rPr>
              <w:t xml:space="preserve"> </w:t>
            </w:r>
            <w:r w:rsidRPr="00523934">
              <w:rPr>
                <w:sz w:val="21"/>
                <w:szCs w:val="21"/>
                <w:lang w:val="de-DE"/>
              </w:rPr>
              <w:t>(vgl. Punkt 3.</w:t>
            </w:r>
            <w:r>
              <w:rPr>
                <w:sz w:val="21"/>
                <w:szCs w:val="21"/>
                <w:lang w:val="de-DE"/>
              </w:rPr>
              <w:t>8</w:t>
            </w:r>
            <w:r w:rsidRPr="00523934">
              <w:rPr>
                <w:sz w:val="21"/>
                <w:szCs w:val="21"/>
                <w:lang w:val="de-DE"/>
              </w:rPr>
              <w:t xml:space="preserve"> des Leitfadens)</w:t>
            </w:r>
          </w:p>
          <w:p w:rsidR="002A43A2" w:rsidRPr="00951351" w:rsidRDefault="002A43A2" w:rsidP="00B458F1">
            <w:pPr>
              <w:pStyle w:val="Text"/>
              <w:tabs>
                <w:tab w:val="clear" w:pos="851"/>
              </w:tabs>
              <w:ind w:left="0"/>
              <w:rPr>
                <w:sz w:val="21"/>
                <w:szCs w:val="21"/>
                <w:lang w:val="de-DE"/>
              </w:rPr>
            </w:pPr>
          </w:p>
        </w:tc>
      </w:tr>
      <w:tr w:rsidR="002A43A2" w:rsidRPr="00951351" w:rsidTr="00B458F1">
        <w:trPr>
          <w:trHeight w:val="245"/>
        </w:trPr>
        <w:tc>
          <w:tcPr>
            <w:tcW w:w="1951" w:type="dxa"/>
          </w:tcPr>
          <w:p w:rsidR="002A43A2" w:rsidRPr="00951351" w:rsidRDefault="002A43A2" w:rsidP="00B458F1">
            <w:pPr>
              <w:pStyle w:val="GDListenummeriertrmisch"/>
              <w:numPr>
                <w:ilvl w:val="0"/>
                <w:numId w:val="0"/>
              </w:numPr>
              <w:rPr>
                <w:szCs w:val="21"/>
              </w:rPr>
            </w:pPr>
            <w:r w:rsidRPr="00951351">
              <w:rPr>
                <w:szCs w:val="21"/>
              </w:rPr>
              <w:t>Hinweise</w:t>
            </w:r>
          </w:p>
        </w:tc>
        <w:tc>
          <w:tcPr>
            <w:tcW w:w="6662" w:type="dxa"/>
            <w:gridSpan w:val="3"/>
          </w:tcPr>
          <w:p w:rsidR="002A43A2" w:rsidRDefault="002A43A2" w:rsidP="00B458F1">
            <w:pPr>
              <w:spacing w:after="60"/>
              <w:rPr>
                <w:rFonts w:eastAsia="Calibri" w:cs="Arial"/>
                <w:szCs w:val="21"/>
              </w:rPr>
            </w:pPr>
          </w:p>
          <w:p w:rsidR="00C70B2A" w:rsidRDefault="001945B3" w:rsidP="00B458F1">
            <w:pPr>
              <w:spacing w:after="60"/>
              <w:rPr>
                <w:rFonts w:eastAsia="Calibri" w:cs="Arial"/>
                <w:szCs w:val="21"/>
              </w:rPr>
            </w:pPr>
            <w:r>
              <w:rPr>
                <w:rFonts w:eastAsia="Calibri" w:cs="Arial"/>
                <w:szCs w:val="21"/>
              </w:rPr>
              <w:t>Verzicht eine Gemeinde</w:t>
            </w:r>
            <w:r w:rsidR="00E93C39">
              <w:rPr>
                <w:rFonts w:eastAsia="Calibri" w:cs="Arial"/>
                <w:szCs w:val="21"/>
              </w:rPr>
              <w:t xml:space="preserve"> </w:t>
            </w:r>
            <w:r w:rsidR="00474D59">
              <w:rPr>
                <w:rFonts w:eastAsia="Calibri" w:cs="Arial"/>
                <w:szCs w:val="21"/>
              </w:rPr>
              <w:t xml:space="preserve">trotz </w:t>
            </w:r>
            <w:r w:rsidR="00F46B78">
              <w:rPr>
                <w:rFonts w:eastAsia="Calibri" w:cs="Arial"/>
                <w:szCs w:val="21"/>
              </w:rPr>
              <w:t>(z.B. durch die Revision</w:t>
            </w:r>
            <w:r>
              <w:rPr>
                <w:rFonts w:eastAsia="Calibri" w:cs="Arial"/>
                <w:szCs w:val="21"/>
              </w:rPr>
              <w:t>sstelle</w:t>
            </w:r>
            <w:r w:rsidR="00F46B78">
              <w:rPr>
                <w:rFonts w:eastAsia="Calibri" w:cs="Arial"/>
                <w:szCs w:val="21"/>
              </w:rPr>
              <w:t>) festgestellten Zweckentfremdung</w:t>
            </w:r>
            <w:r>
              <w:rPr>
                <w:rFonts w:eastAsia="Calibri" w:cs="Arial"/>
                <w:szCs w:val="21"/>
              </w:rPr>
              <w:t>en</w:t>
            </w:r>
            <w:r w:rsidR="00F46B78">
              <w:rPr>
                <w:rFonts w:eastAsia="Calibri" w:cs="Arial"/>
                <w:szCs w:val="21"/>
              </w:rPr>
              <w:t xml:space="preserve"> </w:t>
            </w:r>
            <w:r>
              <w:rPr>
                <w:rFonts w:eastAsia="Calibri" w:cs="Arial"/>
                <w:szCs w:val="21"/>
              </w:rPr>
              <w:t xml:space="preserve">darauf, Rückerstattungsforderungen zu </w:t>
            </w:r>
            <w:r w:rsidR="00F46B78">
              <w:rPr>
                <w:rFonts w:eastAsia="Calibri" w:cs="Arial"/>
                <w:szCs w:val="21"/>
              </w:rPr>
              <w:t>verfüg</w:t>
            </w:r>
            <w:r w:rsidR="00474D59">
              <w:rPr>
                <w:rFonts w:eastAsia="Calibri" w:cs="Arial"/>
                <w:szCs w:val="21"/>
              </w:rPr>
              <w:t>en</w:t>
            </w:r>
            <w:r w:rsidR="00F46B78">
              <w:rPr>
                <w:rFonts w:eastAsia="Calibri" w:cs="Arial"/>
                <w:szCs w:val="21"/>
              </w:rPr>
              <w:t xml:space="preserve">, </w:t>
            </w:r>
            <w:r>
              <w:rPr>
                <w:rFonts w:eastAsia="Calibri" w:cs="Arial"/>
                <w:szCs w:val="21"/>
              </w:rPr>
              <w:t xml:space="preserve">finden keine Kompensationen für die </w:t>
            </w:r>
            <w:r w:rsidR="00F46B78">
              <w:rPr>
                <w:rFonts w:eastAsia="Calibri" w:cs="Arial"/>
                <w:szCs w:val="21"/>
              </w:rPr>
              <w:t xml:space="preserve">Mehrkosten des Kantons </w:t>
            </w:r>
            <w:r>
              <w:rPr>
                <w:rFonts w:eastAsia="Calibri" w:cs="Arial"/>
                <w:szCs w:val="21"/>
              </w:rPr>
              <w:t>statt.</w:t>
            </w:r>
            <w:r w:rsidR="00F46B78">
              <w:rPr>
                <w:rFonts w:eastAsia="Calibri" w:cs="Arial"/>
                <w:szCs w:val="21"/>
              </w:rPr>
              <w:t xml:space="preserve"> Um zu eruieren, wie hoch die Mehrkosten für den Kanton sind</w:t>
            </w:r>
            <w:r w:rsidR="00B458F1">
              <w:rPr>
                <w:rFonts w:eastAsia="Calibri" w:cs="Arial"/>
                <w:szCs w:val="21"/>
              </w:rPr>
              <w:t xml:space="preserve"> bzw. wie hoch der Korrekturbetrag zugunsten des Kantons </w:t>
            </w:r>
            <w:r w:rsidR="00CD6E19">
              <w:rPr>
                <w:rFonts w:eastAsia="Calibri" w:cs="Arial"/>
                <w:szCs w:val="21"/>
              </w:rPr>
              <w:t xml:space="preserve">festzulegen </w:t>
            </w:r>
            <w:r w:rsidR="00B458F1">
              <w:rPr>
                <w:rFonts w:eastAsia="Calibri" w:cs="Arial"/>
                <w:szCs w:val="21"/>
              </w:rPr>
              <w:t>ist</w:t>
            </w:r>
            <w:r w:rsidR="00F46B78">
              <w:rPr>
                <w:rFonts w:eastAsia="Calibri" w:cs="Arial"/>
                <w:szCs w:val="21"/>
              </w:rPr>
              <w:t xml:space="preserve">, ist eine </w:t>
            </w:r>
            <w:r w:rsidR="002A43A2" w:rsidRPr="00951351">
              <w:rPr>
                <w:rFonts w:eastAsia="Calibri" w:cs="Arial"/>
                <w:szCs w:val="21"/>
              </w:rPr>
              <w:t xml:space="preserve">vollständige Auswertung der nachgelagerten Verlustscheine </w:t>
            </w:r>
            <w:r w:rsidR="002A43A2">
              <w:rPr>
                <w:rFonts w:eastAsia="Calibri" w:cs="Arial"/>
                <w:szCs w:val="21"/>
              </w:rPr>
              <w:t>2017</w:t>
            </w:r>
            <w:r w:rsidR="002A43A2" w:rsidRPr="00951351">
              <w:rPr>
                <w:rFonts w:eastAsia="Calibri" w:cs="Arial"/>
                <w:szCs w:val="21"/>
              </w:rPr>
              <w:t xml:space="preserve">, </w:t>
            </w:r>
            <w:r w:rsidR="002A43A2">
              <w:rPr>
                <w:rFonts w:eastAsia="Calibri" w:cs="Arial"/>
                <w:szCs w:val="21"/>
              </w:rPr>
              <w:t>2018</w:t>
            </w:r>
            <w:r w:rsidR="002A43A2" w:rsidRPr="00951351">
              <w:rPr>
                <w:rFonts w:eastAsia="Calibri" w:cs="Arial"/>
                <w:szCs w:val="21"/>
              </w:rPr>
              <w:t xml:space="preserve"> und </w:t>
            </w:r>
            <w:r w:rsidR="002A43A2">
              <w:rPr>
                <w:rFonts w:eastAsia="Calibri" w:cs="Arial"/>
                <w:szCs w:val="21"/>
              </w:rPr>
              <w:t>2019</w:t>
            </w:r>
            <w:r w:rsidR="002A43A2" w:rsidRPr="00951351">
              <w:rPr>
                <w:rFonts w:eastAsia="Calibri" w:cs="Arial"/>
                <w:szCs w:val="21"/>
              </w:rPr>
              <w:t xml:space="preserve"> </w:t>
            </w:r>
            <w:r w:rsidR="00F46B78">
              <w:rPr>
                <w:rFonts w:eastAsia="Calibri" w:cs="Arial"/>
                <w:szCs w:val="21"/>
              </w:rPr>
              <w:t>durchzuführen.</w:t>
            </w:r>
            <w:r w:rsidR="00B458F1">
              <w:rPr>
                <w:rFonts w:eastAsia="Calibri" w:cs="Arial"/>
                <w:szCs w:val="21"/>
              </w:rPr>
              <w:t xml:space="preserve"> </w:t>
            </w:r>
          </w:p>
          <w:p w:rsidR="00DA5E09" w:rsidRDefault="00DA5E09" w:rsidP="00B458F1">
            <w:pPr>
              <w:spacing w:after="60"/>
              <w:rPr>
                <w:rFonts w:eastAsia="Calibri" w:cs="Arial"/>
                <w:szCs w:val="21"/>
              </w:rPr>
            </w:pPr>
          </w:p>
          <w:p w:rsidR="00C70B2A" w:rsidRPr="00951351" w:rsidRDefault="00C70B2A" w:rsidP="00B458F1">
            <w:pPr>
              <w:spacing w:after="60"/>
              <w:rPr>
                <w:rFonts w:eastAsia="Calibri" w:cs="Arial"/>
                <w:szCs w:val="21"/>
              </w:rPr>
            </w:pPr>
          </w:p>
          <w:p w:rsidR="002A43A2" w:rsidRPr="00951351" w:rsidRDefault="002A43A2" w:rsidP="00B458F1">
            <w:pPr>
              <w:spacing w:after="60"/>
              <w:rPr>
                <w:rFonts w:eastAsia="Calibri" w:cs="Arial"/>
                <w:szCs w:val="21"/>
                <w:u w:val="single"/>
                <w:lang w:val="de-DE"/>
              </w:rPr>
            </w:pPr>
            <w:r w:rsidRPr="00951351">
              <w:rPr>
                <w:rFonts w:eastAsia="Calibri" w:cs="Arial"/>
                <w:szCs w:val="21"/>
                <w:u w:val="single"/>
                <w:lang w:val="de-DE"/>
              </w:rPr>
              <w:t xml:space="preserve">Vollprüfung der Leistungen </w:t>
            </w:r>
            <w:r>
              <w:rPr>
                <w:rFonts w:eastAsia="Calibri" w:cs="Arial"/>
                <w:szCs w:val="21"/>
                <w:u w:val="single"/>
                <w:lang w:val="de-DE"/>
              </w:rPr>
              <w:t>201</w:t>
            </w:r>
            <w:r w:rsidR="00C70B2A">
              <w:rPr>
                <w:rFonts w:eastAsia="Calibri" w:cs="Arial"/>
                <w:szCs w:val="21"/>
                <w:u w:val="single"/>
                <w:lang w:val="de-DE"/>
              </w:rPr>
              <w:t>7</w:t>
            </w:r>
          </w:p>
          <w:p w:rsidR="002A43A2" w:rsidRDefault="002A43A2" w:rsidP="00B458F1">
            <w:pPr>
              <w:spacing w:after="60"/>
              <w:rPr>
                <w:rFonts w:eastAsia="Calibri" w:cs="Arial"/>
                <w:szCs w:val="21"/>
                <w:lang w:val="de-DE"/>
              </w:rPr>
            </w:pPr>
            <w:r w:rsidRPr="00951351">
              <w:rPr>
                <w:rFonts w:eastAsia="Calibri" w:cs="Arial"/>
                <w:szCs w:val="21"/>
                <w:lang w:val="de-DE"/>
              </w:rPr>
              <w:t xml:space="preserve">Auf die Vollprüfung durch die externe Revisionsstelle kann nicht verzichtet werden, obwohl sie eher langwierig sein wird. Die Revision </w:t>
            </w:r>
            <w:r w:rsidRPr="00951351">
              <w:rPr>
                <w:rFonts w:eastAsia="Calibri" w:cs="Arial"/>
                <w:szCs w:val="21"/>
                <w:lang w:val="de-DE"/>
              </w:rPr>
              <w:lastRenderedPageBreak/>
              <w:t xml:space="preserve">des </w:t>
            </w:r>
            <w:r w:rsidR="00C70B2A">
              <w:rPr>
                <w:rFonts w:eastAsia="Calibri" w:cs="Arial"/>
                <w:szCs w:val="21"/>
                <w:lang w:val="de-DE"/>
              </w:rPr>
              <w:t>Leistungsjahr</w:t>
            </w:r>
            <w:r w:rsidR="00DA5E09">
              <w:rPr>
                <w:rFonts w:eastAsia="Calibri" w:cs="Arial"/>
                <w:szCs w:val="21"/>
                <w:lang w:val="de-DE"/>
              </w:rPr>
              <w:t>s</w:t>
            </w:r>
            <w:r w:rsidR="00C70B2A">
              <w:rPr>
                <w:rFonts w:eastAsia="Calibri" w:cs="Arial"/>
                <w:szCs w:val="21"/>
                <w:lang w:val="de-DE"/>
              </w:rPr>
              <w:t xml:space="preserve"> 2017</w:t>
            </w:r>
            <w:r w:rsidRPr="00951351">
              <w:rPr>
                <w:rFonts w:eastAsia="Calibri" w:cs="Arial"/>
                <w:szCs w:val="21"/>
                <w:lang w:val="de-DE"/>
              </w:rPr>
              <w:t xml:space="preserve"> bezüglich möglicher Zweckentfremdungen wird nämlich über den Zeitraum </w:t>
            </w:r>
            <w:r>
              <w:rPr>
                <w:rFonts w:eastAsia="Calibri" w:cs="Arial"/>
                <w:szCs w:val="21"/>
                <w:lang w:val="de-DE"/>
              </w:rPr>
              <w:t>2019</w:t>
            </w:r>
            <w:r w:rsidRPr="00951351">
              <w:rPr>
                <w:rFonts w:eastAsia="Calibri" w:cs="Arial"/>
                <w:szCs w:val="21"/>
                <w:lang w:val="de-DE"/>
              </w:rPr>
              <w:t xml:space="preserve"> bis </w:t>
            </w:r>
            <w:r>
              <w:rPr>
                <w:rFonts w:eastAsia="Calibri" w:cs="Arial"/>
                <w:szCs w:val="21"/>
                <w:lang w:val="de-DE"/>
              </w:rPr>
              <w:t>2021</w:t>
            </w:r>
            <w:r w:rsidRPr="00951351">
              <w:rPr>
                <w:rFonts w:eastAsia="Calibri" w:cs="Arial"/>
                <w:szCs w:val="21"/>
                <w:lang w:val="de-DE"/>
              </w:rPr>
              <w:t xml:space="preserve"> stattfinden, da der Nachweis, dass es zu keinen Zweckentfremdungen </w:t>
            </w:r>
            <w:r>
              <w:rPr>
                <w:rFonts w:eastAsia="Calibri" w:cs="Arial"/>
                <w:szCs w:val="21"/>
                <w:lang w:val="de-DE"/>
              </w:rPr>
              <w:t>2017</w:t>
            </w:r>
            <w:r w:rsidRPr="00951351">
              <w:rPr>
                <w:rFonts w:eastAsia="Calibri" w:cs="Arial"/>
                <w:szCs w:val="21"/>
                <w:lang w:val="de-DE"/>
              </w:rPr>
              <w:t xml:space="preserve"> gekommen ist, erst erbracht werden kann, wenn die Statistiken der Verlustscheinen </w:t>
            </w:r>
            <w:r>
              <w:rPr>
                <w:rFonts w:eastAsia="Calibri" w:cs="Arial"/>
                <w:szCs w:val="21"/>
                <w:lang w:val="de-DE"/>
              </w:rPr>
              <w:t>2017</w:t>
            </w:r>
            <w:r w:rsidRPr="00951351">
              <w:rPr>
                <w:rFonts w:eastAsia="Calibri" w:cs="Arial"/>
                <w:szCs w:val="21"/>
                <w:lang w:val="de-DE"/>
              </w:rPr>
              <w:t xml:space="preserve">, </w:t>
            </w:r>
            <w:r>
              <w:rPr>
                <w:rFonts w:eastAsia="Calibri" w:cs="Arial"/>
                <w:szCs w:val="21"/>
                <w:lang w:val="de-DE"/>
              </w:rPr>
              <w:t>2018</w:t>
            </w:r>
            <w:r w:rsidRPr="00951351">
              <w:rPr>
                <w:rFonts w:eastAsia="Calibri" w:cs="Arial"/>
                <w:szCs w:val="21"/>
                <w:lang w:val="de-DE"/>
              </w:rPr>
              <w:t xml:space="preserve"> und </w:t>
            </w:r>
            <w:r>
              <w:rPr>
                <w:rFonts w:eastAsia="Calibri" w:cs="Arial"/>
                <w:szCs w:val="21"/>
                <w:lang w:val="de-DE"/>
              </w:rPr>
              <w:t>2019</w:t>
            </w:r>
            <w:r w:rsidRPr="00951351">
              <w:rPr>
                <w:rFonts w:eastAsia="Calibri" w:cs="Arial"/>
                <w:szCs w:val="21"/>
                <w:lang w:val="de-DE"/>
              </w:rPr>
              <w:t xml:space="preserve"> ausgewertet worden sind. Dabei werden die Listen der EL-Bezüger </w:t>
            </w:r>
            <w:r>
              <w:rPr>
                <w:rFonts w:eastAsia="Calibri" w:cs="Arial"/>
                <w:szCs w:val="21"/>
                <w:lang w:val="de-DE"/>
              </w:rPr>
              <w:t>2017</w:t>
            </w:r>
            <w:r w:rsidRPr="00951351">
              <w:rPr>
                <w:rFonts w:eastAsia="Calibri" w:cs="Arial"/>
                <w:szCs w:val="21"/>
                <w:lang w:val="de-DE"/>
              </w:rPr>
              <w:t xml:space="preserve"> und den Verlustscheinen </w:t>
            </w:r>
            <w:r>
              <w:rPr>
                <w:rFonts w:eastAsia="Calibri" w:cs="Arial"/>
                <w:szCs w:val="21"/>
                <w:lang w:val="de-DE"/>
              </w:rPr>
              <w:t>2017</w:t>
            </w:r>
            <w:r w:rsidRPr="00951351">
              <w:rPr>
                <w:rFonts w:eastAsia="Calibri" w:cs="Arial"/>
                <w:szCs w:val="21"/>
                <w:lang w:val="de-DE"/>
              </w:rPr>
              <w:t xml:space="preserve">, </w:t>
            </w:r>
            <w:r>
              <w:rPr>
                <w:rFonts w:eastAsia="Calibri" w:cs="Arial"/>
                <w:szCs w:val="21"/>
                <w:lang w:val="de-DE"/>
              </w:rPr>
              <w:t>2018</w:t>
            </w:r>
            <w:r w:rsidRPr="00951351">
              <w:rPr>
                <w:rFonts w:eastAsia="Calibri" w:cs="Arial"/>
                <w:szCs w:val="21"/>
                <w:lang w:val="de-DE"/>
              </w:rPr>
              <w:t xml:space="preserve"> und </w:t>
            </w:r>
            <w:r>
              <w:rPr>
                <w:rFonts w:eastAsia="Calibri" w:cs="Arial"/>
                <w:szCs w:val="21"/>
                <w:lang w:val="de-DE"/>
              </w:rPr>
              <w:t>2019</w:t>
            </w:r>
            <w:r w:rsidRPr="00951351">
              <w:rPr>
                <w:rFonts w:eastAsia="Calibri" w:cs="Arial"/>
                <w:szCs w:val="21"/>
                <w:lang w:val="de-DE"/>
              </w:rPr>
              <w:t xml:space="preserve"> jeweils abgeglichen. Der erste Listen-Abgleich in Bezug auf </w:t>
            </w:r>
            <w:r>
              <w:rPr>
                <w:rFonts w:eastAsia="Calibri" w:cs="Arial"/>
                <w:szCs w:val="21"/>
                <w:lang w:val="de-DE"/>
              </w:rPr>
              <w:t>2017</w:t>
            </w:r>
            <w:r w:rsidRPr="00951351">
              <w:rPr>
                <w:rFonts w:eastAsia="Calibri" w:cs="Arial"/>
                <w:szCs w:val="21"/>
                <w:lang w:val="de-DE"/>
              </w:rPr>
              <w:t xml:space="preserve"> hat folglich im Jahr </w:t>
            </w:r>
            <w:r>
              <w:rPr>
                <w:rFonts w:eastAsia="Calibri" w:cs="Arial"/>
                <w:szCs w:val="21"/>
                <w:lang w:val="de-DE"/>
              </w:rPr>
              <w:t>2019</w:t>
            </w:r>
            <w:r w:rsidRPr="00951351">
              <w:rPr>
                <w:rFonts w:eastAsia="Calibri" w:cs="Arial"/>
                <w:szCs w:val="21"/>
                <w:lang w:val="de-DE"/>
              </w:rPr>
              <w:t xml:space="preserve"> zu erfolgen, da die Liste der Verlustscheine </w:t>
            </w:r>
            <w:r>
              <w:rPr>
                <w:rFonts w:eastAsia="Calibri" w:cs="Arial"/>
                <w:szCs w:val="21"/>
                <w:lang w:val="de-DE"/>
              </w:rPr>
              <w:t>2017</w:t>
            </w:r>
            <w:r w:rsidRPr="00951351">
              <w:rPr>
                <w:rFonts w:eastAsia="Calibri" w:cs="Arial"/>
                <w:szCs w:val="21"/>
                <w:lang w:val="de-DE"/>
              </w:rPr>
              <w:t xml:space="preserve"> erst im Jahr </w:t>
            </w:r>
            <w:r>
              <w:rPr>
                <w:rFonts w:eastAsia="Calibri" w:cs="Arial"/>
                <w:szCs w:val="21"/>
                <w:lang w:val="de-DE"/>
              </w:rPr>
              <w:t>2019</w:t>
            </w:r>
            <w:r w:rsidRPr="00951351">
              <w:rPr>
                <w:rFonts w:eastAsia="Calibri" w:cs="Arial"/>
                <w:szCs w:val="21"/>
                <w:lang w:val="de-DE"/>
              </w:rPr>
              <w:t xml:space="preserve"> den Revisionss</w:t>
            </w:r>
            <w:r w:rsidR="005F5420">
              <w:rPr>
                <w:rFonts w:eastAsia="Calibri" w:cs="Arial"/>
                <w:szCs w:val="21"/>
                <w:lang w:val="de-DE"/>
              </w:rPr>
              <w:t>tellen zur Verfügung steht</w:t>
            </w:r>
            <w:r w:rsidRPr="00951351">
              <w:rPr>
                <w:rFonts w:eastAsia="Calibri" w:cs="Arial"/>
                <w:szCs w:val="21"/>
                <w:lang w:val="de-DE"/>
              </w:rPr>
              <w:t>.</w:t>
            </w:r>
          </w:p>
          <w:p w:rsidR="002A43A2" w:rsidRDefault="002A43A2" w:rsidP="00B458F1">
            <w:pPr>
              <w:spacing w:after="60"/>
              <w:rPr>
                <w:rFonts w:eastAsia="Calibri" w:cs="Arial"/>
                <w:szCs w:val="21"/>
                <w:lang w:val="de-DE"/>
              </w:rPr>
            </w:pPr>
          </w:p>
          <w:p w:rsidR="002A43A2" w:rsidRPr="00951351" w:rsidRDefault="002A43A2" w:rsidP="00B458F1">
            <w:pPr>
              <w:spacing w:after="60"/>
              <w:rPr>
                <w:rFonts w:eastAsia="Calibri" w:cs="Arial"/>
                <w:szCs w:val="21"/>
                <w:lang w:val="de-DE"/>
              </w:rPr>
            </w:pPr>
          </w:p>
          <w:p w:rsidR="002A43A2" w:rsidRPr="00951351" w:rsidRDefault="002A43A2" w:rsidP="00B458F1">
            <w:pPr>
              <w:spacing w:after="60"/>
              <w:rPr>
                <w:rFonts w:cs="Arial"/>
                <w:szCs w:val="21"/>
                <w:u w:val="single"/>
              </w:rPr>
            </w:pPr>
            <w:r w:rsidRPr="00951351">
              <w:rPr>
                <w:rFonts w:cs="Arial"/>
                <w:szCs w:val="21"/>
                <w:u w:val="single"/>
              </w:rPr>
              <w:t>Vollprüfung der Leistungen 201</w:t>
            </w:r>
            <w:r w:rsidR="00C70B2A">
              <w:rPr>
                <w:rFonts w:cs="Arial"/>
                <w:szCs w:val="21"/>
                <w:u w:val="single"/>
              </w:rPr>
              <w:t>5 und</w:t>
            </w:r>
            <w:r>
              <w:rPr>
                <w:rFonts w:cs="Arial"/>
                <w:szCs w:val="21"/>
                <w:u w:val="single"/>
              </w:rPr>
              <w:t xml:space="preserve"> 201</w:t>
            </w:r>
            <w:r w:rsidR="00C70B2A">
              <w:rPr>
                <w:rFonts w:cs="Arial"/>
                <w:szCs w:val="21"/>
                <w:u w:val="single"/>
              </w:rPr>
              <w:t xml:space="preserve">6 </w:t>
            </w:r>
          </w:p>
          <w:p w:rsidR="002A43A2" w:rsidRPr="00951351" w:rsidRDefault="002A43A2" w:rsidP="00B458F1">
            <w:pPr>
              <w:spacing w:after="60"/>
              <w:rPr>
                <w:rFonts w:eastAsia="Calibri" w:cs="Arial"/>
                <w:szCs w:val="21"/>
              </w:rPr>
            </w:pPr>
            <w:r w:rsidRPr="00951351">
              <w:rPr>
                <w:rFonts w:cs="Arial"/>
                <w:szCs w:val="21"/>
              </w:rPr>
              <w:t>Da</w:t>
            </w:r>
            <w:r w:rsidRPr="00951351">
              <w:rPr>
                <w:rFonts w:eastAsia="Calibri" w:cs="Arial"/>
                <w:szCs w:val="21"/>
              </w:rPr>
              <w:t xml:space="preserve"> bei der Revision der </w:t>
            </w:r>
            <w:r w:rsidRPr="00454CD7">
              <w:rPr>
                <w:rFonts w:eastAsia="Calibri" w:cs="Arial"/>
                <w:szCs w:val="21"/>
              </w:rPr>
              <w:t>Leistungen 201</w:t>
            </w:r>
            <w:r w:rsidR="00C70B2A">
              <w:rPr>
                <w:rFonts w:eastAsia="Calibri" w:cs="Arial"/>
                <w:szCs w:val="21"/>
              </w:rPr>
              <w:t xml:space="preserve">5 und </w:t>
            </w:r>
            <w:r>
              <w:rPr>
                <w:rFonts w:eastAsia="Calibri" w:cs="Arial"/>
                <w:szCs w:val="21"/>
              </w:rPr>
              <w:t xml:space="preserve">2016 </w:t>
            </w:r>
            <w:r w:rsidRPr="00951351">
              <w:rPr>
                <w:rFonts w:eastAsia="Calibri" w:cs="Arial"/>
                <w:szCs w:val="21"/>
              </w:rPr>
              <w:t xml:space="preserve">die Liste der Verlustscheine </w:t>
            </w:r>
            <w:r>
              <w:rPr>
                <w:rFonts w:eastAsia="Calibri" w:cs="Arial"/>
                <w:szCs w:val="21"/>
              </w:rPr>
              <w:t>201</w:t>
            </w:r>
            <w:r w:rsidR="005F5420">
              <w:rPr>
                <w:rFonts w:eastAsia="Calibri" w:cs="Arial"/>
                <w:szCs w:val="21"/>
              </w:rPr>
              <w:t>7</w:t>
            </w:r>
            <w:r w:rsidRPr="00951351">
              <w:rPr>
                <w:rFonts w:eastAsia="Calibri" w:cs="Arial"/>
                <w:szCs w:val="21"/>
              </w:rPr>
              <w:t xml:space="preserve"> noch nicht zur Verfügung stand, hat im Rahmen der Revision der </w:t>
            </w:r>
            <w:r w:rsidRPr="00951351">
              <w:rPr>
                <w:rFonts w:eastAsia="Calibri" w:cs="Arial"/>
                <w:b/>
                <w:szCs w:val="21"/>
              </w:rPr>
              <w:t xml:space="preserve">Abrechnung </w:t>
            </w:r>
            <w:r>
              <w:rPr>
                <w:rFonts w:eastAsia="Calibri" w:cs="Arial"/>
                <w:b/>
                <w:szCs w:val="21"/>
              </w:rPr>
              <w:t>201</w:t>
            </w:r>
            <w:r w:rsidR="005F5420">
              <w:rPr>
                <w:rFonts w:eastAsia="Calibri" w:cs="Arial"/>
                <w:b/>
                <w:szCs w:val="21"/>
              </w:rPr>
              <w:t>8</w:t>
            </w:r>
            <w:r w:rsidRPr="00951351">
              <w:rPr>
                <w:rFonts w:eastAsia="Calibri" w:cs="Arial"/>
                <w:szCs w:val="21"/>
              </w:rPr>
              <w:t xml:space="preserve"> die Prüfung möglicher Zweckentfremdungen stattzufinden. Um allfällige Mehrkosten für den Kanton nachträglich auszuschliessen, sind alle Verlustscheine </w:t>
            </w:r>
            <w:r>
              <w:rPr>
                <w:rFonts w:eastAsia="Calibri" w:cs="Arial"/>
                <w:szCs w:val="21"/>
              </w:rPr>
              <w:t>201</w:t>
            </w:r>
            <w:r w:rsidR="005F5420">
              <w:rPr>
                <w:rFonts w:eastAsia="Calibri" w:cs="Arial"/>
                <w:szCs w:val="21"/>
              </w:rPr>
              <w:t>7</w:t>
            </w:r>
            <w:r w:rsidRPr="00951351">
              <w:rPr>
                <w:rFonts w:eastAsia="Calibri" w:cs="Arial"/>
                <w:szCs w:val="21"/>
              </w:rPr>
              <w:t xml:space="preserve"> allen geltend gemachten Prämienverbilligungsanteilen EL 201</w:t>
            </w:r>
            <w:r w:rsidR="005F5420">
              <w:rPr>
                <w:rFonts w:eastAsia="Calibri" w:cs="Arial"/>
                <w:szCs w:val="21"/>
              </w:rPr>
              <w:t xml:space="preserve">5 und </w:t>
            </w:r>
            <w:r>
              <w:rPr>
                <w:rFonts w:eastAsia="Calibri" w:cs="Arial"/>
                <w:szCs w:val="21"/>
              </w:rPr>
              <w:t xml:space="preserve">2016 </w:t>
            </w:r>
            <w:r w:rsidRPr="00951351">
              <w:rPr>
                <w:rFonts w:eastAsia="Calibri" w:cs="Arial"/>
                <w:szCs w:val="21"/>
              </w:rPr>
              <w:t>gegenüberzustellen. Der Abgleich ist flächendeckend durchzuführen.</w:t>
            </w:r>
          </w:p>
          <w:p w:rsidR="002A43A2" w:rsidRPr="00951351" w:rsidRDefault="002A43A2" w:rsidP="00B458F1">
            <w:pPr>
              <w:spacing w:after="60"/>
              <w:rPr>
                <w:rFonts w:eastAsia="Calibri" w:cs="Arial"/>
                <w:szCs w:val="21"/>
              </w:rPr>
            </w:pPr>
          </w:p>
          <w:p w:rsidR="002A43A2" w:rsidRPr="00951351" w:rsidRDefault="002A43A2" w:rsidP="00B458F1">
            <w:pPr>
              <w:spacing w:after="60"/>
              <w:rPr>
                <w:rFonts w:eastAsia="Calibri" w:cs="Arial"/>
                <w:szCs w:val="21"/>
              </w:rPr>
            </w:pPr>
            <w:r>
              <w:rPr>
                <w:rFonts w:eastAsia="Calibri" w:cs="Arial"/>
                <w:szCs w:val="21"/>
                <w:u w:val="single"/>
              </w:rPr>
              <w:t>Ausblick über die</w:t>
            </w:r>
            <w:r w:rsidRPr="00951351">
              <w:rPr>
                <w:rFonts w:eastAsia="Calibri" w:cs="Arial"/>
                <w:szCs w:val="21"/>
                <w:u w:val="single"/>
              </w:rPr>
              <w:t xml:space="preserve"> bevorstehende</w:t>
            </w:r>
            <w:r>
              <w:rPr>
                <w:rFonts w:eastAsia="Calibri" w:cs="Arial"/>
                <w:szCs w:val="21"/>
                <w:u w:val="single"/>
              </w:rPr>
              <w:t>n</w:t>
            </w:r>
            <w:r w:rsidRPr="00951351">
              <w:rPr>
                <w:rFonts w:eastAsia="Calibri" w:cs="Arial"/>
                <w:szCs w:val="21"/>
                <w:u w:val="single"/>
              </w:rPr>
              <w:t xml:space="preserve"> Vollprüfungen ab Revision der Abrechnung 201</w:t>
            </w:r>
            <w:r w:rsidR="005F5420">
              <w:rPr>
                <w:rFonts w:eastAsia="Calibri" w:cs="Arial"/>
                <w:szCs w:val="21"/>
                <w:u w:val="single"/>
              </w:rPr>
              <w:t>8</w:t>
            </w:r>
            <w:r w:rsidRPr="00951351">
              <w:rPr>
                <w:rFonts w:eastAsia="Calibri" w:cs="Arial"/>
                <w:szCs w:val="21"/>
              </w:rPr>
              <w:t>:</w:t>
            </w:r>
          </w:p>
          <w:p w:rsidR="002A43A2" w:rsidRPr="00951351" w:rsidRDefault="002A43A2" w:rsidP="00B458F1">
            <w:pPr>
              <w:rPr>
                <w:rFonts w:eastAsia="Calibri" w:cs="Arial"/>
                <w:szCs w:val="21"/>
              </w:rPr>
            </w:pPr>
            <w:r w:rsidRPr="00951351">
              <w:rPr>
                <w:rFonts w:eastAsia="Calibri" w:cs="Arial"/>
                <w:szCs w:val="21"/>
              </w:rPr>
              <w:t>Revision der Abrechnung 2018 (im Jahr 2019):</w:t>
            </w:r>
          </w:p>
          <w:p w:rsidR="002A43A2" w:rsidRPr="005F5420" w:rsidRDefault="002A43A2" w:rsidP="00B458F1">
            <w:pPr>
              <w:rPr>
                <w:rFonts w:eastAsia="Calibri" w:cs="Arial"/>
                <w:b/>
                <w:szCs w:val="21"/>
              </w:rPr>
            </w:pPr>
            <w:r w:rsidRPr="00951351">
              <w:rPr>
                <w:rFonts w:eastAsia="Calibri" w:cs="Arial"/>
                <w:szCs w:val="21"/>
              </w:rPr>
              <w:t xml:space="preserve">- </w:t>
            </w:r>
            <w:r w:rsidRPr="005F5420">
              <w:rPr>
                <w:rFonts w:eastAsia="Calibri" w:cs="Arial"/>
                <w:b/>
                <w:szCs w:val="21"/>
              </w:rPr>
              <w:t>Abgleich Leistungen 2015 / Verlustscheine 2017</w:t>
            </w:r>
          </w:p>
          <w:p w:rsidR="002A43A2" w:rsidRPr="005F5420" w:rsidRDefault="002A43A2" w:rsidP="00B458F1">
            <w:pPr>
              <w:rPr>
                <w:rFonts w:eastAsia="Calibri" w:cs="Arial"/>
                <w:b/>
                <w:szCs w:val="21"/>
              </w:rPr>
            </w:pPr>
            <w:r w:rsidRPr="005F5420">
              <w:rPr>
                <w:rFonts w:eastAsia="Calibri" w:cs="Arial"/>
                <w:b/>
                <w:szCs w:val="21"/>
              </w:rPr>
              <w:t>- Abgleich Leistungen 2016 / Verlustscheine 2017</w:t>
            </w:r>
          </w:p>
          <w:p w:rsidR="002A43A2" w:rsidRPr="005F5420" w:rsidRDefault="002A43A2" w:rsidP="00B458F1">
            <w:pPr>
              <w:spacing w:after="60"/>
              <w:rPr>
                <w:rFonts w:eastAsia="Calibri" w:cs="Arial"/>
                <w:b/>
                <w:szCs w:val="21"/>
              </w:rPr>
            </w:pPr>
            <w:r w:rsidRPr="005F5420">
              <w:rPr>
                <w:rFonts w:eastAsia="Calibri" w:cs="Arial"/>
                <w:b/>
                <w:szCs w:val="21"/>
              </w:rPr>
              <w:t>- Abgleich Leistungen 2017 / Verlustscheine 2017</w:t>
            </w:r>
          </w:p>
          <w:p w:rsidR="002A43A2" w:rsidRPr="00951351" w:rsidRDefault="002A43A2" w:rsidP="00B458F1">
            <w:pPr>
              <w:rPr>
                <w:rFonts w:eastAsia="Calibri" w:cs="Arial"/>
                <w:szCs w:val="21"/>
              </w:rPr>
            </w:pPr>
            <w:r w:rsidRPr="00951351">
              <w:rPr>
                <w:rFonts w:eastAsia="Calibri" w:cs="Arial"/>
                <w:szCs w:val="21"/>
              </w:rPr>
              <w:t>Revision der Abrechnung 2019 (im Jahr 2020):</w:t>
            </w:r>
          </w:p>
          <w:p w:rsidR="002A43A2" w:rsidRPr="00951351" w:rsidRDefault="002A43A2" w:rsidP="00B458F1">
            <w:pPr>
              <w:rPr>
                <w:rFonts w:eastAsia="Calibri" w:cs="Arial"/>
                <w:szCs w:val="21"/>
              </w:rPr>
            </w:pPr>
            <w:r w:rsidRPr="00951351">
              <w:rPr>
                <w:rFonts w:eastAsia="Calibri" w:cs="Arial"/>
                <w:szCs w:val="21"/>
              </w:rPr>
              <w:t>- Abgleich Leistungen 2016 / Verlustscheine 2018</w:t>
            </w:r>
          </w:p>
          <w:p w:rsidR="002A43A2" w:rsidRPr="00951351" w:rsidRDefault="002A43A2" w:rsidP="00B458F1">
            <w:pPr>
              <w:spacing w:after="60"/>
              <w:rPr>
                <w:rFonts w:eastAsia="Calibri" w:cs="Arial"/>
                <w:szCs w:val="21"/>
              </w:rPr>
            </w:pPr>
            <w:r w:rsidRPr="00951351">
              <w:rPr>
                <w:rFonts w:eastAsia="Calibri" w:cs="Arial"/>
                <w:szCs w:val="21"/>
              </w:rPr>
              <w:t>- Abgleich Leistungen 2017 / Verlustscheine 2018</w:t>
            </w:r>
          </w:p>
          <w:p w:rsidR="002A43A2" w:rsidRPr="00951351" w:rsidRDefault="002A43A2" w:rsidP="00B458F1">
            <w:pPr>
              <w:rPr>
                <w:rFonts w:eastAsia="Calibri" w:cs="Arial"/>
                <w:szCs w:val="21"/>
              </w:rPr>
            </w:pPr>
            <w:r w:rsidRPr="00951351">
              <w:rPr>
                <w:rFonts w:eastAsia="Calibri" w:cs="Arial"/>
                <w:szCs w:val="21"/>
              </w:rPr>
              <w:t>Revision der Abrechnung 2020 (im Jahr 2021):</w:t>
            </w:r>
          </w:p>
          <w:p w:rsidR="002A43A2" w:rsidRDefault="002A43A2" w:rsidP="00B458F1">
            <w:pPr>
              <w:rPr>
                <w:rFonts w:eastAsia="Calibri" w:cs="Arial"/>
                <w:szCs w:val="21"/>
              </w:rPr>
            </w:pPr>
            <w:r w:rsidRPr="00951351">
              <w:rPr>
                <w:rFonts w:eastAsia="Calibri" w:cs="Arial"/>
                <w:szCs w:val="21"/>
              </w:rPr>
              <w:t>- Abgleich Leistungen 2017 / Verlustscheine 2019</w:t>
            </w:r>
          </w:p>
          <w:p w:rsidR="002A43A2" w:rsidRDefault="002A43A2" w:rsidP="00B458F1">
            <w:pPr>
              <w:rPr>
                <w:rFonts w:eastAsia="Calibri" w:cs="Arial"/>
                <w:szCs w:val="21"/>
              </w:rPr>
            </w:pPr>
          </w:p>
          <w:p w:rsidR="002A43A2" w:rsidRDefault="002A43A2" w:rsidP="00B458F1">
            <w:pPr>
              <w:rPr>
                <w:rFonts w:eastAsia="Calibri" w:cs="Arial"/>
                <w:szCs w:val="21"/>
              </w:rPr>
            </w:pPr>
            <w:r>
              <w:rPr>
                <w:rFonts w:eastAsia="Calibri" w:cs="Arial"/>
                <w:szCs w:val="21"/>
              </w:rPr>
              <w:t xml:space="preserve">Gegenstand der Korrekturen zugunsten des Kantons sind ausschliesslich die zweckentfremdeten Prämienausstände gemäss Verlustschein. Verzugszinse, Betreibungskosten, Kostenbeteiligungen sowie Mahn- bzw. Bearbeitungskosten fliessen </w:t>
            </w:r>
            <w:r w:rsidRPr="00C3002D">
              <w:rPr>
                <w:rFonts w:eastAsia="Calibri" w:cs="Arial"/>
                <w:b/>
                <w:szCs w:val="21"/>
              </w:rPr>
              <w:t>nicht</w:t>
            </w:r>
            <w:r>
              <w:rPr>
                <w:rFonts w:eastAsia="Calibri" w:cs="Arial"/>
                <w:szCs w:val="21"/>
              </w:rPr>
              <w:t xml:space="preserve"> in den Korrekturbetrag ein. </w:t>
            </w:r>
            <w:r w:rsidRPr="00FA7950">
              <w:rPr>
                <w:rFonts w:eastAsia="Calibri" w:cs="Arial"/>
                <w:szCs w:val="21"/>
              </w:rPr>
              <w:t>Begründung:</w:t>
            </w:r>
            <w:r>
              <w:rPr>
                <w:rFonts w:eastAsia="Calibri" w:cs="Arial"/>
                <w:szCs w:val="21"/>
              </w:rPr>
              <w:t xml:space="preserve"> Zur Vereinfachung wird angenommen, dass die aus den Prämienausständen resultierenden Verzugszinse und Betreibungskosten im Durchschnitt 15% der Prämienausstände ausmachen. Der Korrekturbetrag in der Höhe von 100% der zweckentfremdeten Prämienausstände deckt somit insgesamt die Mehrkosten des Kantons ab: 85% der Prämienausstände im Rahmen der Verlustscheinabrechnung mit den Krankenkassen + 15% für den Mehraufwand wegen Verzugszinsen und Betreibungskosten. </w:t>
            </w:r>
          </w:p>
          <w:p w:rsidR="002A43A2" w:rsidRDefault="002A43A2" w:rsidP="00B458F1">
            <w:pPr>
              <w:rPr>
                <w:rFonts w:eastAsia="Calibri" w:cs="Arial"/>
                <w:szCs w:val="21"/>
              </w:rPr>
            </w:pPr>
            <w:r>
              <w:rPr>
                <w:rFonts w:eastAsia="Calibri" w:cs="Arial"/>
                <w:szCs w:val="21"/>
              </w:rPr>
              <w:lastRenderedPageBreak/>
              <w:t>Liegt eine Rückzahlung durch den Schuldner vor, ist diese bei den zweckentfremdeten Prämienausständen anteilsmässig zu berücksichtigen. Der Korrekturbetrag wird aber nicht im Umfang dieser anteilmässigen Rückzahlung reduziert, sondern nur um die Hälfte davon, denn die Krankenkassen leiten ab Zeitpunkt der Ausstellung des Verlustscheins nur 50% der Rückzahlungen an den Kanton weiter.</w:t>
            </w:r>
          </w:p>
          <w:p w:rsidR="002A43A2" w:rsidRPr="00951351" w:rsidRDefault="002A43A2" w:rsidP="00B458F1">
            <w:pPr>
              <w:rPr>
                <w:rFonts w:eastAsia="Calibri" w:cs="Arial"/>
                <w:szCs w:val="21"/>
              </w:rPr>
            </w:pPr>
          </w:p>
        </w:tc>
      </w:tr>
      <w:tr w:rsidR="002A43A2" w:rsidRPr="00951351" w:rsidTr="00B458F1">
        <w:trPr>
          <w:trHeight w:val="260"/>
        </w:trPr>
        <w:tc>
          <w:tcPr>
            <w:tcW w:w="1951" w:type="dxa"/>
          </w:tcPr>
          <w:p w:rsidR="002A43A2" w:rsidRPr="00951351" w:rsidRDefault="002A43A2" w:rsidP="00B458F1">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2A43A2" w:rsidRPr="00951351" w:rsidRDefault="00AA0D06" w:rsidP="00B458F1">
            <w:pPr>
              <w:pStyle w:val="GDListenummeriertrmisch"/>
              <w:numPr>
                <w:ilvl w:val="0"/>
                <w:numId w:val="0"/>
              </w:numPr>
              <w:tabs>
                <w:tab w:val="center" w:pos="263"/>
              </w:tabs>
              <w:ind w:left="275" w:hanging="275"/>
            </w:pPr>
            <w:sdt>
              <w:sdtPr>
                <w:id w:val="-1500121065"/>
                <w14:checkbox>
                  <w14:checked w14:val="0"/>
                  <w14:checkedState w14:val="2612" w14:font="MS Gothic"/>
                  <w14:uncheckedState w14:val="2610" w14:font="MS Gothic"/>
                </w14:checkbox>
              </w:sdtPr>
              <w:sdtEndPr/>
              <w:sdtContent>
                <w:r w:rsidR="002A43A2" w:rsidRPr="00951351">
                  <w:rPr>
                    <w:rFonts w:hint="eastAsia"/>
                  </w:rPr>
                  <w:t>☐</w:t>
                </w:r>
              </w:sdtContent>
            </w:sdt>
            <w:r w:rsidR="002A43A2" w:rsidRPr="00951351">
              <w:tab/>
              <w:t xml:space="preserve"> </w:t>
            </w:r>
            <w:proofErr w:type="spellStart"/>
            <w:r w:rsidR="002A43A2" w:rsidRPr="00951351">
              <w:t>i.O</w:t>
            </w:r>
            <w:proofErr w:type="spellEnd"/>
            <w:r w:rsidR="002A43A2" w:rsidRPr="00951351">
              <w:t>.</w:t>
            </w:r>
          </w:p>
        </w:tc>
        <w:tc>
          <w:tcPr>
            <w:tcW w:w="2977" w:type="dxa"/>
            <w:shd w:val="clear" w:color="auto" w:fill="BFBFBF" w:themeFill="background1" w:themeFillShade="BF"/>
          </w:tcPr>
          <w:p w:rsidR="002A43A2" w:rsidRPr="00951351" w:rsidRDefault="00AA0D06" w:rsidP="00B458F1">
            <w:pPr>
              <w:pStyle w:val="GDListenummeriertrmisch"/>
              <w:numPr>
                <w:ilvl w:val="0"/>
                <w:numId w:val="0"/>
              </w:numPr>
              <w:tabs>
                <w:tab w:val="center" w:pos="263"/>
              </w:tabs>
              <w:ind w:left="275" w:hanging="275"/>
            </w:pPr>
            <w:sdt>
              <w:sdtPr>
                <w:id w:val="132922685"/>
                <w14:checkbox>
                  <w14:checked w14:val="0"/>
                  <w14:checkedState w14:val="2612" w14:font="MS Gothic"/>
                  <w14:uncheckedState w14:val="2610" w14:font="MS Gothic"/>
                </w14:checkbox>
              </w:sdtPr>
              <w:sdtEndPr/>
              <w:sdtContent>
                <w:r w:rsidR="002A43A2" w:rsidRPr="00951351">
                  <w:rPr>
                    <w:rFonts w:hint="eastAsia"/>
                  </w:rPr>
                  <w:t>☐</w:t>
                </w:r>
              </w:sdtContent>
            </w:sdt>
            <w:r w:rsidR="002A43A2" w:rsidRPr="00951351">
              <w:tab/>
              <w:t xml:space="preserve"> wesentliche Feststellungen Korrekturbeträge sind in der Beilage 1 erfasst</w:t>
            </w:r>
          </w:p>
        </w:tc>
        <w:tc>
          <w:tcPr>
            <w:tcW w:w="2693" w:type="dxa"/>
            <w:shd w:val="clear" w:color="auto" w:fill="BFBFBF" w:themeFill="background1" w:themeFillShade="BF"/>
          </w:tcPr>
          <w:p w:rsidR="002A43A2" w:rsidRPr="00951351" w:rsidRDefault="00AA0D06" w:rsidP="00B458F1">
            <w:pPr>
              <w:pStyle w:val="GDListenummeriertrmisch"/>
              <w:numPr>
                <w:ilvl w:val="0"/>
                <w:numId w:val="0"/>
              </w:numPr>
              <w:tabs>
                <w:tab w:val="center" w:pos="263"/>
                <w:tab w:val="center" w:pos="361"/>
                <w:tab w:val="center" w:pos="977"/>
              </w:tabs>
              <w:ind w:left="275" w:hanging="275"/>
            </w:pPr>
            <w:sdt>
              <w:sdtPr>
                <w:id w:val="-1433281919"/>
                <w14:checkbox>
                  <w14:checked w14:val="0"/>
                  <w14:checkedState w14:val="2612" w14:font="MS Gothic"/>
                  <w14:uncheckedState w14:val="2610" w14:font="MS Gothic"/>
                </w14:checkbox>
              </w:sdtPr>
              <w:sdtEndPr/>
              <w:sdtContent>
                <w:r w:rsidR="002A43A2" w:rsidRPr="00951351">
                  <w:rPr>
                    <w:rFonts w:hint="eastAsia"/>
                  </w:rPr>
                  <w:t>☐</w:t>
                </w:r>
              </w:sdtContent>
            </w:sdt>
            <w:r w:rsidR="002A43A2" w:rsidRPr="00951351">
              <w:tab/>
            </w:r>
            <w:r w:rsidR="002A43A2" w:rsidRPr="00951351">
              <w:tab/>
              <w:t>wesentliche Feststellungen (ohne Korrekturbetrag)*</w:t>
            </w:r>
          </w:p>
        </w:tc>
      </w:tr>
      <w:tr w:rsidR="002A43A2" w:rsidRPr="00951351" w:rsidTr="00B458F1">
        <w:trPr>
          <w:trHeight w:val="260"/>
        </w:trPr>
        <w:tc>
          <w:tcPr>
            <w:tcW w:w="1951" w:type="dxa"/>
          </w:tcPr>
          <w:p w:rsidR="002A43A2" w:rsidRPr="00951351" w:rsidRDefault="002A43A2" w:rsidP="00B458F1">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A43A2" w:rsidRPr="00951351" w:rsidRDefault="002A43A2" w:rsidP="00B458F1">
            <w:pPr>
              <w:pStyle w:val="GDListenummeriertrmisch"/>
              <w:numPr>
                <w:ilvl w:val="0"/>
                <w:numId w:val="0"/>
              </w:numPr>
              <w:rPr>
                <w:szCs w:val="21"/>
              </w:rPr>
            </w:pPr>
          </w:p>
        </w:tc>
      </w:tr>
    </w:tbl>
    <w:p w:rsidR="002A43A2" w:rsidRPr="00951351" w:rsidRDefault="002A43A2" w:rsidP="002A43A2">
      <w:pPr>
        <w:pStyle w:val="GDListenummeriertrmisch"/>
        <w:numPr>
          <w:ilvl w:val="0"/>
          <w:numId w:val="0"/>
        </w:numPr>
        <w:rPr>
          <w:szCs w:val="21"/>
        </w:rPr>
      </w:pPr>
    </w:p>
    <w:p w:rsidR="00B71286" w:rsidRDefault="00B71286" w:rsidP="000615EE">
      <w:pPr>
        <w:pStyle w:val="Text"/>
        <w:ind w:left="0"/>
        <w:jc w:val="left"/>
        <w:rPr>
          <w:lang w:val="de-DE"/>
        </w:rPr>
      </w:pPr>
    </w:p>
    <w:p w:rsidR="00B71286" w:rsidRDefault="00B71286" w:rsidP="000615EE">
      <w:pPr>
        <w:pStyle w:val="Text"/>
        <w:ind w:left="0"/>
        <w:jc w:val="left"/>
        <w:rPr>
          <w:lang w:val="de-DE"/>
        </w:rPr>
      </w:pPr>
    </w:p>
    <w:p w:rsidR="00B71286" w:rsidRPr="00951351" w:rsidRDefault="00B71286" w:rsidP="000615EE">
      <w:pPr>
        <w:pStyle w:val="Text"/>
        <w:ind w:left="0"/>
        <w:jc w:val="left"/>
        <w:rPr>
          <w:lang w:val="de-DE"/>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Unterschrift:</w:t>
      </w:r>
    </w:p>
    <w:p w:rsidR="000615EE" w:rsidRPr="00951351" w:rsidRDefault="000615EE" w:rsidP="00486122">
      <w:pPr>
        <w:pStyle w:val="GDListenummeriertrmisch"/>
        <w:numPr>
          <w:ilvl w:val="0"/>
          <w:numId w:val="0"/>
        </w:numPr>
        <w:rPr>
          <w:szCs w:val="21"/>
        </w:rPr>
      </w:pPr>
    </w:p>
    <w:sectPr w:rsidR="000615EE" w:rsidRPr="00951351" w:rsidSect="00AA0D06">
      <w:footerReference w:type="default" r:id="rId11"/>
      <w:footerReference w:type="first" r:id="rId12"/>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5F" w:rsidRDefault="009B325F">
      <w:r>
        <w:separator/>
      </w:r>
    </w:p>
  </w:endnote>
  <w:endnote w:type="continuationSeparator" w:id="0">
    <w:p w:rsidR="009B325F" w:rsidRDefault="009B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5F" w:rsidRDefault="009B325F">
    <w:pPr>
      <w:framePr w:wrap="around" w:vAnchor="text" w:hAnchor="margin" w:xAlign="right" w:y="1"/>
    </w:pPr>
    <w:r>
      <w:fldChar w:fldCharType="begin"/>
    </w:r>
    <w:r>
      <w:instrText xml:space="preserve">PAGE  </w:instrText>
    </w:r>
    <w:r>
      <w:fldChar w:fldCharType="separate"/>
    </w:r>
    <w:r>
      <w:rPr>
        <w:noProof/>
      </w:rPr>
      <w:t>1</w:t>
    </w:r>
    <w:r>
      <w:fldChar w:fldCharType="end"/>
    </w:r>
  </w:p>
  <w:p w:rsidR="009B325F" w:rsidRDefault="009B325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5F" w:rsidRDefault="009B325F"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5F" w:rsidRDefault="009B325F"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5F" w:rsidRDefault="009B325F">
      <w:r>
        <w:separator/>
      </w:r>
    </w:p>
  </w:footnote>
  <w:footnote w:type="continuationSeparator" w:id="0">
    <w:p w:rsidR="009B325F" w:rsidRDefault="009B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Layout w:type="fixed"/>
      <w:tblLook w:val="01E0" w:firstRow="1" w:lastRow="1" w:firstColumn="1" w:lastColumn="1" w:noHBand="0" w:noVBand="0"/>
    </w:tblPr>
    <w:tblGrid>
      <w:gridCol w:w="4307"/>
      <w:gridCol w:w="1879"/>
      <w:gridCol w:w="3732"/>
    </w:tblGrid>
    <w:tr w:rsidR="009B325F" w:rsidTr="00486122">
      <w:tc>
        <w:tcPr>
          <w:tcW w:w="4307" w:type="dxa"/>
        </w:tcPr>
        <w:p w:rsidR="009B325F" w:rsidRDefault="009B325F" w:rsidP="00486122">
          <w:pPr>
            <w:ind w:left="-15"/>
            <w:rPr>
              <w:lang w:eastAsia="de-CH"/>
            </w:rPr>
          </w:pPr>
        </w:p>
      </w:tc>
      <w:tc>
        <w:tcPr>
          <w:tcW w:w="1879" w:type="dxa"/>
        </w:tcPr>
        <w:p w:rsidR="009B325F" w:rsidRPr="005A511C" w:rsidRDefault="009B325F" w:rsidP="00486122">
          <w:pPr>
            <w:spacing w:before="600"/>
            <w:rPr>
              <w:sz w:val="16"/>
              <w:szCs w:val="16"/>
              <w:lang w:eastAsia="de-CH"/>
            </w:rPr>
          </w:pPr>
          <w:r>
            <w:rPr>
              <w:noProof/>
              <w:lang w:eastAsia="de-CH"/>
            </w:rPr>
            <w:drawing>
              <wp:anchor distT="0" distB="0" distL="114300" distR="114300" simplePos="0" relativeHeight="251655168"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1025"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9B325F" w:rsidRDefault="009B325F" w:rsidP="00486122">
          <w:pPr>
            <w:pStyle w:val="GDFliesstextklein"/>
            <w:spacing w:before="100"/>
            <w:ind w:left="45"/>
            <w:rPr>
              <w:szCs w:val="16"/>
              <w:lang w:eastAsia="de-CH"/>
            </w:rPr>
          </w:pPr>
        </w:p>
        <w:p w:rsidR="009B325F" w:rsidRDefault="009B325F" w:rsidP="00486122">
          <w:pPr>
            <w:pStyle w:val="GDFliesstextklein"/>
            <w:ind w:left="45"/>
            <w:rPr>
              <w:szCs w:val="16"/>
              <w:lang w:eastAsia="de-CH"/>
            </w:rPr>
          </w:pPr>
        </w:p>
        <w:p w:rsidR="009B325F" w:rsidRDefault="009B325F" w:rsidP="00486122">
          <w:pPr>
            <w:pStyle w:val="GDFliesstextklein"/>
            <w:ind w:left="45"/>
            <w:rPr>
              <w:szCs w:val="16"/>
              <w:lang w:eastAsia="de-CH"/>
            </w:rPr>
          </w:pPr>
        </w:p>
        <w:p w:rsidR="009B325F" w:rsidRDefault="009B325F" w:rsidP="00486122">
          <w:pPr>
            <w:pStyle w:val="GDFliesstextklein"/>
            <w:ind w:left="34"/>
            <w:rPr>
              <w:lang w:eastAsia="de-CH"/>
            </w:rPr>
          </w:pPr>
          <w:r w:rsidRPr="00663C52">
            <w:rPr>
              <w:lang w:eastAsia="de-CH"/>
            </w:rPr>
            <w:t>Gesundheitsdirektion</w:t>
          </w:r>
        </w:p>
        <w:p w:rsidR="009B325F" w:rsidRDefault="009B325F" w:rsidP="00486122">
          <w:pPr>
            <w:pStyle w:val="GDFliesstextklein"/>
            <w:ind w:left="34"/>
            <w:rPr>
              <w:szCs w:val="16"/>
              <w:lang w:eastAsia="de-CH"/>
            </w:rPr>
          </w:pPr>
          <w:r>
            <w:rPr>
              <w:lang w:eastAsia="de-CH"/>
            </w:rPr>
            <w:t>Prüfprogramm KVG-</w:t>
          </w:r>
          <w:r w:rsidRPr="007A67F2">
            <w:rPr>
              <w:lang w:eastAsia="de-CH"/>
            </w:rPr>
            <w:t xml:space="preserve">Revision der Abrechnung </w:t>
          </w:r>
          <w:r>
            <w:rPr>
              <w:lang w:eastAsia="de-CH"/>
            </w:rPr>
            <w:t>2018 (Beilage 2 des Revisionsberichts)</w:t>
          </w:r>
        </w:p>
        <w:p w:rsidR="009B325F" w:rsidRDefault="009B325F"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AA0D06">
            <w:rPr>
              <w:rStyle w:val="Seitenzahl"/>
              <w:rFonts w:cs="Arial"/>
              <w:noProof/>
              <w:sz w:val="16"/>
              <w:szCs w:val="16"/>
            </w:rPr>
            <w:t>20</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AA0D06">
            <w:rPr>
              <w:rStyle w:val="Seitenzahl"/>
              <w:rFonts w:cs="Arial"/>
              <w:noProof/>
              <w:sz w:val="16"/>
              <w:szCs w:val="16"/>
              <w:lang w:eastAsia="de-CH"/>
            </w:rPr>
            <w:t>23</w:t>
          </w:r>
          <w:r w:rsidRPr="00663C52">
            <w:rPr>
              <w:rStyle w:val="Seitenzahl"/>
              <w:rFonts w:cs="Arial"/>
              <w:sz w:val="16"/>
              <w:szCs w:val="16"/>
            </w:rPr>
            <w:fldChar w:fldCharType="end"/>
          </w:r>
        </w:p>
      </w:tc>
    </w:tr>
  </w:tbl>
  <w:p w:rsidR="009B325F" w:rsidRDefault="009B325F" w:rsidP="00486122"/>
  <w:p w:rsidR="009B325F" w:rsidRDefault="009B325F" w:rsidP="00486122"/>
  <w:p w:rsidR="009B325F" w:rsidRDefault="009B325F" w:rsidP="00486122"/>
  <w:p w:rsidR="009B325F" w:rsidRDefault="009B325F" w:rsidP="00486122"/>
  <w:p w:rsidR="009B325F" w:rsidRDefault="009B325F" w:rsidP="00486122"/>
  <w:p w:rsidR="009B325F" w:rsidRDefault="009B325F" w:rsidP="004861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2" w:type="dxa"/>
      <w:tblInd w:w="-34" w:type="dxa"/>
      <w:tblLayout w:type="fixed"/>
      <w:tblLook w:val="01E0" w:firstRow="1" w:lastRow="1" w:firstColumn="1" w:lastColumn="1" w:noHBand="0" w:noVBand="0"/>
    </w:tblPr>
    <w:tblGrid>
      <w:gridCol w:w="4307"/>
      <w:gridCol w:w="1952"/>
      <w:gridCol w:w="2853"/>
    </w:tblGrid>
    <w:tr w:rsidR="009B325F" w:rsidTr="00486122">
      <w:tc>
        <w:tcPr>
          <w:tcW w:w="4307" w:type="dxa"/>
        </w:tcPr>
        <w:p w:rsidR="009B325F" w:rsidRDefault="009B325F" w:rsidP="00486122">
          <w:pPr>
            <w:ind w:left="-108"/>
            <w:rPr>
              <w:lang w:eastAsia="de-CH"/>
            </w:rPr>
          </w:pPr>
        </w:p>
      </w:tc>
      <w:tc>
        <w:tcPr>
          <w:tcW w:w="1952" w:type="dxa"/>
        </w:tcPr>
        <w:p w:rsidR="009B325F" w:rsidRPr="005A511C" w:rsidRDefault="009B325F" w:rsidP="00486122">
          <w:pPr>
            <w:spacing w:before="600"/>
            <w:rPr>
              <w:sz w:val="16"/>
              <w:szCs w:val="16"/>
              <w:lang w:eastAsia="de-CH"/>
            </w:rPr>
          </w:pPr>
          <w:r>
            <w:rPr>
              <w:noProof/>
              <w:lang w:eastAsia="de-CH"/>
            </w:rPr>
            <w:drawing>
              <wp:anchor distT="0" distB="0" distL="114300" distR="114300" simplePos="0" relativeHeight="251657216"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1026"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9B325F" w:rsidRDefault="009B325F" w:rsidP="00486122">
          <w:pPr>
            <w:pStyle w:val="GDFliesstextklein"/>
            <w:spacing w:line="200" w:lineRule="exact"/>
            <w:ind w:left="77"/>
            <w:rPr>
              <w:lang w:eastAsia="de-CH"/>
            </w:rPr>
          </w:pPr>
        </w:p>
        <w:p w:rsidR="009B325F" w:rsidRDefault="009B325F" w:rsidP="00486122">
          <w:pPr>
            <w:pStyle w:val="GDFliesstextklein"/>
            <w:spacing w:line="200" w:lineRule="exact"/>
            <w:ind w:left="77"/>
            <w:rPr>
              <w:lang w:eastAsia="de-CH"/>
            </w:rPr>
          </w:pPr>
        </w:p>
        <w:p w:rsidR="009B325F" w:rsidRDefault="009B325F" w:rsidP="00486122">
          <w:pPr>
            <w:pStyle w:val="GDFliesstextklein"/>
            <w:spacing w:line="200" w:lineRule="exact"/>
            <w:ind w:left="77"/>
            <w:rPr>
              <w:lang w:eastAsia="de-CH"/>
            </w:rPr>
          </w:pPr>
        </w:p>
        <w:p w:rsidR="009B325F" w:rsidRDefault="009B325F" w:rsidP="00486122">
          <w:pPr>
            <w:pStyle w:val="GDFliesstextklein"/>
            <w:spacing w:line="200" w:lineRule="exact"/>
            <w:rPr>
              <w:lang w:eastAsia="de-CH"/>
            </w:rPr>
          </w:pPr>
          <w:r w:rsidRPr="00010DFB">
            <w:rPr>
              <w:lang w:eastAsia="de-CH"/>
            </w:rPr>
            <w:t>Kanton</w:t>
          </w:r>
          <w:r>
            <w:rPr>
              <w:lang w:eastAsia="de-CH"/>
            </w:rPr>
            <w:t xml:space="preserve"> Zürich</w:t>
          </w:r>
        </w:p>
        <w:p w:rsidR="009B325F" w:rsidRDefault="009B325F" w:rsidP="00486122">
          <w:pPr>
            <w:pStyle w:val="GDFliesstextkleinundfett"/>
            <w:spacing w:line="200" w:lineRule="exact"/>
            <w:rPr>
              <w:lang w:eastAsia="de-CH"/>
            </w:rPr>
          </w:pPr>
          <w:r w:rsidRPr="00010DFB">
            <w:rPr>
              <w:lang w:eastAsia="de-CH"/>
            </w:rPr>
            <w:t>Gesundheitsdirektion</w:t>
          </w:r>
        </w:p>
        <w:p w:rsidR="009B325F" w:rsidRDefault="009B325F" w:rsidP="00486122">
          <w:pPr>
            <w:pStyle w:val="GDFliesstextklein"/>
            <w:spacing w:line="200" w:lineRule="exact"/>
            <w:rPr>
              <w:lang w:eastAsia="de-CH"/>
            </w:rPr>
          </w:pPr>
          <w:bookmarkStart w:id="1" w:name="Abteilung"/>
          <w:r w:rsidRPr="00010DFB">
            <w:rPr>
              <w:lang w:eastAsia="de-CH"/>
            </w:rPr>
            <w:t>Controlling &amp; Logistik</w:t>
          </w:r>
          <w:bookmarkEnd w:id="1"/>
        </w:p>
      </w:tc>
    </w:tr>
  </w:tbl>
  <w:p w:rsidR="009B325F" w:rsidRPr="00842F53" w:rsidRDefault="009B325F" w:rsidP="00486122">
    <w:pPr>
      <w:rPr>
        <w:sz w:val="2"/>
        <w:szCs w:val="2"/>
      </w:rPr>
    </w:pPr>
    <w:r>
      <w:rPr>
        <w:noProof/>
        <w:lang w:eastAsia="de-CH"/>
      </w:rPr>
      <w:drawing>
        <wp:anchor distT="0" distB="0" distL="114300" distR="114300" simplePos="0" relativeHeight="251659264"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1027"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56FEB"/>
    <w:multiLevelType w:val="hybridMultilevel"/>
    <w:tmpl w:val="67A20994"/>
    <w:lvl w:ilvl="0" w:tplc="F324391C">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246304"/>
    <w:multiLevelType w:val="hybridMultilevel"/>
    <w:tmpl w:val="91308AFA"/>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9" w15:restartNumberingAfterBreak="0">
    <w:nsid w:val="525F3ABE"/>
    <w:multiLevelType w:val="hybridMultilevel"/>
    <w:tmpl w:val="ACFCD2C6"/>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11" w15:restartNumberingAfterBreak="0">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7"/>
  </w:num>
  <w:num w:numId="6">
    <w:abstractNumId w:val="0"/>
  </w:num>
  <w:num w:numId="7">
    <w:abstractNumId w:val="6"/>
  </w:num>
  <w:num w:numId="8">
    <w:abstractNumId w:val="11"/>
  </w:num>
  <w:num w:numId="9">
    <w:abstractNumId w:val="4"/>
  </w:num>
  <w:num w:numId="10">
    <w:abstractNumId w:val="2"/>
  </w:num>
  <w:num w:numId="11">
    <w:abstractNumId w:val="0"/>
  </w:num>
  <w:num w:numId="12">
    <w:abstractNumId w:val="0"/>
  </w:num>
  <w:num w:numId="13">
    <w:abstractNumId w:val="13"/>
  </w:num>
  <w:num w:numId="14">
    <w:abstractNumId w:val="8"/>
  </w:num>
  <w:num w:numId="15">
    <w:abstractNumId w:val="8"/>
  </w:num>
  <w:num w:numId="16">
    <w:abstractNumId w:val="8"/>
  </w:num>
  <w:num w:numId="17">
    <w:abstractNumId w:val="5"/>
  </w:num>
  <w:num w:numId="18">
    <w:abstractNumId w:val="9"/>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16FEC"/>
    <w:rsid w:val="0002543D"/>
    <w:rsid w:val="00033A4E"/>
    <w:rsid w:val="0004159B"/>
    <w:rsid w:val="00045DC4"/>
    <w:rsid w:val="00055696"/>
    <w:rsid w:val="000615EE"/>
    <w:rsid w:val="00061EAF"/>
    <w:rsid w:val="00085614"/>
    <w:rsid w:val="000939FD"/>
    <w:rsid w:val="00093E72"/>
    <w:rsid w:val="0009417E"/>
    <w:rsid w:val="000A039C"/>
    <w:rsid w:val="000B6D72"/>
    <w:rsid w:val="000B769C"/>
    <w:rsid w:val="000D68A7"/>
    <w:rsid w:val="000E068E"/>
    <w:rsid w:val="000E3906"/>
    <w:rsid w:val="000F33E4"/>
    <w:rsid w:val="000F3DA3"/>
    <w:rsid w:val="001017A8"/>
    <w:rsid w:val="00112B80"/>
    <w:rsid w:val="001176C0"/>
    <w:rsid w:val="00124251"/>
    <w:rsid w:val="00131C7A"/>
    <w:rsid w:val="001323DF"/>
    <w:rsid w:val="00133408"/>
    <w:rsid w:val="00135283"/>
    <w:rsid w:val="00152A56"/>
    <w:rsid w:val="00160353"/>
    <w:rsid w:val="001945B3"/>
    <w:rsid w:val="00195D13"/>
    <w:rsid w:val="001A4D7C"/>
    <w:rsid w:val="001A7A58"/>
    <w:rsid w:val="001B3AFB"/>
    <w:rsid w:val="001C4E6E"/>
    <w:rsid w:val="001C78DB"/>
    <w:rsid w:val="001D3DF4"/>
    <w:rsid w:val="001D652B"/>
    <w:rsid w:val="001E4588"/>
    <w:rsid w:val="001E6C17"/>
    <w:rsid w:val="002014CB"/>
    <w:rsid w:val="00204CE5"/>
    <w:rsid w:val="00205017"/>
    <w:rsid w:val="00206DA1"/>
    <w:rsid w:val="00215A4C"/>
    <w:rsid w:val="00225880"/>
    <w:rsid w:val="002327B5"/>
    <w:rsid w:val="00232BB2"/>
    <w:rsid w:val="00232DEF"/>
    <w:rsid w:val="002427F0"/>
    <w:rsid w:val="0025027F"/>
    <w:rsid w:val="00261A0F"/>
    <w:rsid w:val="00272742"/>
    <w:rsid w:val="002905B3"/>
    <w:rsid w:val="002A43A2"/>
    <w:rsid w:val="002A79EE"/>
    <w:rsid w:val="002B42AF"/>
    <w:rsid w:val="002C10DF"/>
    <w:rsid w:val="002C3605"/>
    <w:rsid w:val="002C4B48"/>
    <w:rsid w:val="002D0BD6"/>
    <w:rsid w:val="002E3B4A"/>
    <w:rsid w:val="002E4954"/>
    <w:rsid w:val="002F1A08"/>
    <w:rsid w:val="00302A21"/>
    <w:rsid w:val="00305CD4"/>
    <w:rsid w:val="003263AC"/>
    <w:rsid w:val="003445A8"/>
    <w:rsid w:val="00353D04"/>
    <w:rsid w:val="003546CD"/>
    <w:rsid w:val="00394134"/>
    <w:rsid w:val="003A5F5B"/>
    <w:rsid w:val="003B36EF"/>
    <w:rsid w:val="003B4578"/>
    <w:rsid w:val="003C22D0"/>
    <w:rsid w:val="003D08B4"/>
    <w:rsid w:val="003D18E8"/>
    <w:rsid w:val="003E2807"/>
    <w:rsid w:val="003E391C"/>
    <w:rsid w:val="003F2C36"/>
    <w:rsid w:val="003F69AA"/>
    <w:rsid w:val="003F7383"/>
    <w:rsid w:val="00414AFD"/>
    <w:rsid w:val="004245F5"/>
    <w:rsid w:val="00430235"/>
    <w:rsid w:val="004449F9"/>
    <w:rsid w:val="00447CD0"/>
    <w:rsid w:val="00454BD9"/>
    <w:rsid w:val="00454CD7"/>
    <w:rsid w:val="00474D59"/>
    <w:rsid w:val="00486122"/>
    <w:rsid w:val="0048632F"/>
    <w:rsid w:val="004A19B8"/>
    <w:rsid w:val="004A3267"/>
    <w:rsid w:val="004A63B7"/>
    <w:rsid w:val="004B0190"/>
    <w:rsid w:val="004B1C31"/>
    <w:rsid w:val="004B2B2D"/>
    <w:rsid w:val="004C1F68"/>
    <w:rsid w:val="004C40AF"/>
    <w:rsid w:val="004D5932"/>
    <w:rsid w:val="004E0C06"/>
    <w:rsid w:val="004E223F"/>
    <w:rsid w:val="005070D2"/>
    <w:rsid w:val="0051231D"/>
    <w:rsid w:val="00523934"/>
    <w:rsid w:val="005366BB"/>
    <w:rsid w:val="00551E70"/>
    <w:rsid w:val="00552309"/>
    <w:rsid w:val="005530A6"/>
    <w:rsid w:val="00560B52"/>
    <w:rsid w:val="00566968"/>
    <w:rsid w:val="0057418B"/>
    <w:rsid w:val="00584CA7"/>
    <w:rsid w:val="00592360"/>
    <w:rsid w:val="00593EBB"/>
    <w:rsid w:val="005979A2"/>
    <w:rsid w:val="00597F0E"/>
    <w:rsid w:val="005A6810"/>
    <w:rsid w:val="005B3D73"/>
    <w:rsid w:val="005B792D"/>
    <w:rsid w:val="005B7AA9"/>
    <w:rsid w:val="005C3C4B"/>
    <w:rsid w:val="005D6D99"/>
    <w:rsid w:val="005F2237"/>
    <w:rsid w:val="005F5420"/>
    <w:rsid w:val="00620B46"/>
    <w:rsid w:val="00625E5C"/>
    <w:rsid w:val="00632B2E"/>
    <w:rsid w:val="00636C9F"/>
    <w:rsid w:val="00637BDC"/>
    <w:rsid w:val="0064476C"/>
    <w:rsid w:val="00656694"/>
    <w:rsid w:val="006815FC"/>
    <w:rsid w:val="00681ECB"/>
    <w:rsid w:val="00687DBA"/>
    <w:rsid w:val="00693653"/>
    <w:rsid w:val="006A7A09"/>
    <w:rsid w:val="006C3FA3"/>
    <w:rsid w:val="006D4564"/>
    <w:rsid w:val="006E2C08"/>
    <w:rsid w:val="00702147"/>
    <w:rsid w:val="00731ABD"/>
    <w:rsid w:val="00731D1E"/>
    <w:rsid w:val="00735E67"/>
    <w:rsid w:val="00756C03"/>
    <w:rsid w:val="007606D1"/>
    <w:rsid w:val="00760CBB"/>
    <w:rsid w:val="00793261"/>
    <w:rsid w:val="007A67F2"/>
    <w:rsid w:val="007A756E"/>
    <w:rsid w:val="007B6A70"/>
    <w:rsid w:val="007C23DE"/>
    <w:rsid w:val="007D2743"/>
    <w:rsid w:val="007E2FF5"/>
    <w:rsid w:val="007E5C79"/>
    <w:rsid w:val="007E5D10"/>
    <w:rsid w:val="007F3D1D"/>
    <w:rsid w:val="0080021F"/>
    <w:rsid w:val="0082662B"/>
    <w:rsid w:val="00850D36"/>
    <w:rsid w:val="008535E4"/>
    <w:rsid w:val="0088362F"/>
    <w:rsid w:val="00893C50"/>
    <w:rsid w:val="008A0D07"/>
    <w:rsid w:val="008A4AD5"/>
    <w:rsid w:val="008E4E12"/>
    <w:rsid w:val="008E5965"/>
    <w:rsid w:val="008F2EC8"/>
    <w:rsid w:val="00902AA0"/>
    <w:rsid w:val="009245E6"/>
    <w:rsid w:val="009254EB"/>
    <w:rsid w:val="00943A7E"/>
    <w:rsid w:val="009453AB"/>
    <w:rsid w:val="0095040D"/>
    <w:rsid w:val="0095044B"/>
    <w:rsid w:val="00951204"/>
    <w:rsid w:val="00951351"/>
    <w:rsid w:val="00951DCF"/>
    <w:rsid w:val="0096453E"/>
    <w:rsid w:val="009675C9"/>
    <w:rsid w:val="0099465F"/>
    <w:rsid w:val="00996FD3"/>
    <w:rsid w:val="009A4277"/>
    <w:rsid w:val="009A4F38"/>
    <w:rsid w:val="009A5C0C"/>
    <w:rsid w:val="009B325F"/>
    <w:rsid w:val="009C3124"/>
    <w:rsid w:val="009D4FA5"/>
    <w:rsid w:val="009E50CB"/>
    <w:rsid w:val="009F1209"/>
    <w:rsid w:val="00A00687"/>
    <w:rsid w:val="00A04CE6"/>
    <w:rsid w:val="00A16B4A"/>
    <w:rsid w:val="00A22AA9"/>
    <w:rsid w:val="00A3542B"/>
    <w:rsid w:val="00A3739B"/>
    <w:rsid w:val="00A51194"/>
    <w:rsid w:val="00A53323"/>
    <w:rsid w:val="00A54B1A"/>
    <w:rsid w:val="00A56233"/>
    <w:rsid w:val="00A639BE"/>
    <w:rsid w:val="00A70C37"/>
    <w:rsid w:val="00A7488B"/>
    <w:rsid w:val="00A75593"/>
    <w:rsid w:val="00A8411A"/>
    <w:rsid w:val="00A905BD"/>
    <w:rsid w:val="00A9140F"/>
    <w:rsid w:val="00A941B8"/>
    <w:rsid w:val="00A959DF"/>
    <w:rsid w:val="00AA0D06"/>
    <w:rsid w:val="00AD2682"/>
    <w:rsid w:val="00AD333F"/>
    <w:rsid w:val="00AD3D65"/>
    <w:rsid w:val="00AE122E"/>
    <w:rsid w:val="00AE213E"/>
    <w:rsid w:val="00AE702D"/>
    <w:rsid w:val="00AF2963"/>
    <w:rsid w:val="00AF6AF3"/>
    <w:rsid w:val="00B1082F"/>
    <w:rsid w:val="00B116AA"/>
    <w:rsid w:val="00B272E3"/>
    <w:rsid w:val="00B331D3"/>
    <w:rsid w:val="00B33381"/>
    <w:rsid w:val="00B458F1"/>
    <w:rsid w:val="00B47E35"/>
    <w:rsid w:val="00B71286"/>
    <w:rsid w:val="00B803E5"/>
    <w:rsid w:val="00B82B7B"/>
    <w:rsid w:val="00B92E55"/>
    <w:rsid w:val="00B96391"/>
    <w:rsid w:val="00BA3EDD"/>
    <w:rsid w:val="00BB7CBB"/>
    <w:rsid w:val="00BC02B9"/>
    <w:rsid w:val="00BD07E2"/>
    <w:rsid w:val="00BD3A53"/>
    <w:rsid w:val="00BD5C63"/>
    <w:rsid w:val="00BD6902"/>
    <w:rsid w:val="00BE1C47"/>
    <w:rsid w:val="00BF4F17"/>
    <w:rsid w:val="00C05793"/>
    <w:rsid w:val="00C15CCD"/>
    <w:rsid w:val="00C25FA4"/>
    <w:rsid w:val="00C3002D"/>
    <w:rsid w:val="00C46B86"/>
    <w:rsid w:val="00C64FE7"/>
    <w:rsid w:val="00C66FB3"/>
    <w:rsid w:val="00C70B2A"/>
    <w:rsid w:val="00C72400"/>
    <w:rsid w:val="00C810FC"/>
    <w:rsid w:val="00C83099"/>
    <w:rsid w:val="00C87627"/>
    <w:rsid w:val="00C93A12"/>
    <w:rsid w:val="00CA0E4E"/>
    <w:rsid w:val="00CD6E19"/>
    <w:rsid w:val="00CE2170"/>
    <w:rsid w:val="00CF133C"/>
    <w:rsid w:val="00CF440F"/>
    <w:rsid w:val="00D0425C"/>
    <w:rsid w:val="00D16236"/>
    <w:rsid w:val="00D16CEA"/>
    <w:rsid w:val="00D3708E"/>
    <w:rsid w:val="00D375D1"/>
    <w:rsid w:val="00D41287"/>
    <w:rsid w:val="00D45E0A"/>
    <w:rsid w:val="00D56E3B"/>
    <w:rsid w:val="00D7111F"/>
    <w:rsid w:val="00D729AD"/>
    <w:rsid w:val="00D7680D"/>
    <w:rsid w:val="00D94F97"/>
    <w:rsid w:val="00DA2798"/>
    <w:rsid w:val="00DA2A5A"/>
    <w:rsid w:val="00DA5E09"/>
    <w:rsid w:val="00DA60E8"/>
    <w:rsid w:val="00DB15C3"/>
    <w:rsid w:val="00DC3B24"/>
    <w:rsid w:val="00DE12B5"/>
    <w:rsid w:val="00DE3504"/>
    <w:rsid w:val="00DE4046"/>
    <w:rsid w:val="00DE524F"/>
    <w:rsid w:val="00DE5BD4"/>
    <w:rsid w:val="00E17F16"/>
    <w:rsid w:val="00E43689"/>
    <w:rsid w:val="00E439FB"/>
    <w:rsid w:val="00E46A71"/>
    <w:rsid w:val="00E5262E"/>
    <w:rsid w:val="00E61662"/>
    <w:rsid w:val="00E6724F"/>
    <w:rsid w:val="00E72348"/>
    <w:rsid w:val="00E8561E"/>
    <w:rsid w:val="00E868B8"/>
    <w:rsid w:val="00E93C39"/>
    <w:rsid w:val="00E96C11"/>
    <w:rsid w:val="00EA763E"/>
    <w:rsid w:val="00ED096E"/>
    <w:rsid w:val="00EE2035"/>
    <w:rsid w:val="00EF3F97"/>
    <w:rsid w:val="00F207A0"/>
    <w:rsid w:val="00F2419B"/>
    <w:rsid w:val="00F339FB"/>
    <w:rsid w:val="00F46B78"/>
    <w:rsid w:val="00F6456E"/>
    <w:rsid w:val="00F66AD6"/>
    <w:rsid w:val="00F8184A"/>
    <w:rsid w:val="00FA19D0"/>
    <w:rsid w:val="00FA272B"/>
    <w:rsid w:val="00FA4805"/>
    <w:rsid w:val="00FA7950"/>
    <w:rsid w:val="00FE2B10"/>
    <w:rsid w:val="00FE2D87"/>
    <w:rsid w:val="00FE49D5"/>
    <w:rsid w:val="00FE5565"/>
    <w:rsid w:val="00FF47C6"/>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11873D5"/>
  <w15:docId w15:val="{62A903D2-21DF-43A9-9093-0A8525F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1292-5757-47A6-B4ED-DC230CF8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Neutral.dot</Template>
  <TotalTime>0</TotalTime>
  <Pages>23</Pages>
  <Words>5559</Words>
  <Characters>39864</Characters>
  <Application>Microsoft Office Word</Application>
  <DocSecurity>0</DocSecurity>
  <Lines>332</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b188mij</cp:lastModifiedBy>
  <cp:revision>31</cp:revision>
  <cp:lastPrinted>2018-11-16T09:57:00Z</cp:lastPrinted>
  <dcterms:created xsi:type="dcterms:W3CDTF">2018-11-15T09:56:00Z</dcterms:created>
  <dcterms:modified xsi:type="dcterms:W3CDTF">2018-12-18T14:50:00Z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