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el0216ptnach"/>
        <w:spacing w:after="0"/>
      </w:pPr>
      <w:r>
        <w:t xml:space="preserve">Pflegevertrag zwischen der </w:t>
      </w:r>
      <w:proofErr w:type="spellStart"/>
      <w:r>
        <w:t>Vormundsperson</w:t>
      </w:r>
      <w:proofErr w:type="spellEnd"/>
      <w:r>
        <w:t xml:space="preserve"> und </w:t>
      </w:r>
      <w:r>
        <w:fldChar w:fldCharType="begin">
          <w:ffData>
            <w:name w:val=""/>
            <w:enabled/>
            <w:calcOnExit w:val="0"/>
            <w:textInput>
              <w:default w:val="Namen Pflegeeltern"/>
            </w:textInput>
          </w:ffData>
        </w:fldChar>
      </w:r>
      <w:r>
        <w:instrText xml:space="preserve"> FORMTEXT </w:instrText>
      </w:r>
      <w:r>
        <w:fldChar w:fldCharType="separate"/>
      </w:r>
      <w:r>
        <w:rPr>
          <w:noProof/>
        </w:rPr>
        <w:t>Namen Pflegeeltern</w:t>
      </w:r>
      <w:r>
        <w:fldChar w:fldCharType="end"/>
      </w:r>
      <w:r>
        <w:t xml:space="preserve"> </w:t>
      </w:r>
      <w:r>
        <w:fldChar w:fldCharType="begin">
          <w:ffData>
            <w:name w:val=""/>
            <w:enabled/>
            <w:calcOnExit w:val="0"/>
            <w:textInput>
              <w:default w:val="Name Pflegemutter"/>
            </w:textInput>
          </w:ffData>
        </w:fldChar>
      </w:r>
      <w:r>
        <w:instrText xml:space="preserve"> FORMTEXT </w:instrText>
      </w:r>
      <w:r>
        <w:fldChar w:fldCharType="separate"/>
      </w:r>
      <w:r>
        <w:rPr>
          <w:noProof/>
        </w:rPr>
        <w:t>Name Pflegemutter</w:t>
      </w:r>
      <w:r>
        <w:fldChar w:fldCharType="end"/>
      </w:r>
      <w:r>
        <w:t xml:space="preserve"> </w:t>
      </w:r>
      <w:r>
        <w:fldChar w:fldCharType="begin">
          <w:ffData>
            <w:name w:val=""/>
            <w:enabled/>
            <w:calcOnExit w:val="0"/>
            <w:textInput>
              <w:default w:val="Name Pflegevater"/>
            </w:textInput>
          </w:ffData>
        </w:fldChar>
      </w:r>
      <w:r>
        <w:instrText xml:space="preserve"> FORMTEXT </w:instrText>
      </w:r>
      <w:r>
        <w:fldChar w:fldCharType="separate"/>
      </w:r>
      <w:r>
        <w:rPr>
          <w:noProof/>
        </w:rPr>
        <w:t>Name Pflegevater</w:t>
      </w:r>
      <w:r>
        <w:fldChar w:fldCharType="end"/>
      </w:r>
    </w:p>
    <w:p>
      <w:pPr>
        <w:spacing w:after="0"/>
        <w:rPr>
          <w:rStyle w:val="Grundtextfett"/>
          <w:rFonts w:ascii="Arial" w:hAnsi="Arial" w:cs="Arial"/>
          <w:color w:val="FF0000"/>
          <w:szCs w:val="21"/>
        </w:rPr>
      </w:pPr>
    </w:p>
    <w:p>
      <w:pPr>
        <w:spacing w:after="0"/>
        <w:rPr>
          <w:rStyle w:val="Grundtextfett"/>
          <w:rFonts w:ascii="Arial" w:hAnsi="Arial" w:cs="Arial"/>
          <w:color w:val="FF0000"/>
          <w:szCs w:val="21"/>
        </w:rPr>
      </w:pPr>
      <w:r>
        <w:rPr>
          <w:rStyle w:val="Grundtextfett"/>
          <w:rFonts w:ascii="Arial" w:hAnsi="Arial" w:cs="Arial"/>
          <w:color w:val="FF0000"/>
          <w:szCs w:val="21"/>
        </w:rPr>
        <w:t xml:space="preserve">Kommentare in roter Schrift = Regieanweisungen (bitte löschen). </w:t>
      </w:r>
    </w:p>
    <w:p>
      <w:pPr>
        <w:spacing w:after="0"/>
        <w:rPr>
          <w:rStyle w:val="Grundtextfett"/>
          <w:rFonts w:ascii="Arial" w:hAnsi="Arial" w:cs="Arial"/>
          <w:color w:val="FF0000"/>
          <w:szCs w:val="21"/>
        </w:rPr>
      </w:pPr>
      <w:r>
        <w:rPr>
          <w:rStyle w:val="Grundtextfett"/>
          <w:rFonts w:ascii="Arial" w:hAnsi="Arial" w:cs="Arial"/>
          <w:color w:val="FF0000"/>
          <w:szCs w:val="21"/>
        </w:rPr>
        <w:t xml:space="preserve">Nicht benötigte Auswahlfelder (grau hinterlegt) bitte jeweils löschen. </w:t>
      </w:r>
    </w:p>
    <w:p>
      <w:pPr>
        <w:spacing w:after="0"/>
        <w:rPr>
          <w:rStyle w:val="Grundtextfett"/>
          <w:rFonts w:ascii="Arial" w:hAnsi="Arial" w:cs="Arial"/>
          <w:color w:val="FF0000"/>
          <w:szCs w:val="21"/>
        </w:rPr>
      </w:pPr>
      <w:r>
        <w:rPr>
          <w:rStyle w:val="Grundtextfett"/>
          <w:rFonts w:ascii="Arial" w:hAnsi="Arial" w:cs="Arial"/>
          <w:color w:val="FF0000"/>
          <w:szCs w:val="21"/>
        </w:rPr>
        <w:t xml:space="preserve">Nicht benötigte Varianten bitte jeweils löschen. </w:t>
      </w:r>
    </w:p>
    <w:p>
      <w:pPr>
        <w:spacing w:after="0"/>
        <w:rPr>
          <w:rStyle w:val="Grundtextfett"/>
          <w:sz w:val="22"/>
        </w:rPr>
      </w:pPr>
    </w:p>
    <w:p>
      <w:pPr>
        <w:spacing w:after="0"/>
        <w:rPr>
          <w:rStyle w:val="Grundtextfett"/>
          <w:sz w:val="22"/>
        </w:rPr>
      </w:pPr>
      <w:r>
        <w:rPr>
          <w:rStyle w:val="Grundtextfett"/>
          <w:b/>
          <w:sz w:val="22"/>
        </w:rPr>
        <w:t xml:space="preserve">für </w:t>
      </w:r>
      <w:r>
        <w:rPr>
          <w:rFonts w:ascii="Arial Black" w:hAnsi="Arial Black"/>
          <w:b/>
          <w:sz w:val="22"/>
        </w:rPr>
        <w:fldChar w:fldCharType="begin">
          <w:ffData>
            <w:name w:val=""/>
            <w:enabled/>
            <w:calcOnExit w:val="0"/>
            <w:textInput>
              <w:default w:val="das Kind"/>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das Kind</w:t>
      </w:r>
      <w:r>
        <w:rPr>
          <w:rFonts w:ascii="Arial Black" w:hAnsi="Arial Black"/>
          <w:b/>
          <w:sz w:val="22"/>
        </w:rPr>
        <w:fldChar w:fldCharType="end"/>
      </w:r>
      <w:r>
        <w:rPr>
          <w:rFonts w:ascii="Arial Black" w:hAnsi="Arial Black"/>
          <w:b/>
          <w:sz w:val="22"/>
        </w:rPr>
        <w:t xml:space="preserve"> </w:t>
      </w:r>
      <w:r>
        <w:rPr>
          <w:rFonts w:ascii="Arial Black" w:hAnsi="Arial Black"/>
          <w:b/>
          <w:sz w:val="22"/>
        </w:rPr>
        <w:fldChar w:fldCharType="begin">
          <w:ffData>
            <w:name w:val=""/>
            <w:enabled/>
            <w:calcOnExit w:val="0"/>
            <w:textInput>
              <w:default w:val="die Jugendliche"/>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die Jugendliche</w:t>
      </w:r>
      <w:r>
        <w:rPr>
          <w:rFonts w:ascii="Arial Black" w:hAnsi="Arial Black"/>
          <w:b/>
          <w:sz w:val="22"/>
        </w:rPr>
        <w:fldChar w:fldCharType="end"/>
      </w:r>
      <w:r>
        <w:rPr>
          <w:rFonts w:ascii="Arial Black" w:hAnsi="Arial Black"/>
          <w:b/>
          <w:sz w:val="22"/>
        </w:rPr>
        <w:t xml:space="preserve"> </w:t>
      </w:r>
      <w:r>
        <w:rPr>
          <w:rFonts w:ascii="Arial Black" w:hAnsi="Arial Black"/>
          <w:b/>
          <w:sz w:val="22"/>
        </w:rPr>
        <w:fldChar w:fldCharType="begin">
          <w:ffData>
            <w:name w:val=""/>
            <w:enabled/>
            <w:calcOnExit w:val="0"/>
            <w:textInput>
              <w:default w:val="den Jugendlichen"/>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den Jugendlichen</w:t>
      </w:r>
      <w:r>
        <w:rPr>
          <w:rFonts w:ascii="Arial Black" w:hAnsi="Arial Black"/>
          <w:b/>
          <w:sz w:val="22"/>
        </w:rPr>
        <w:fldChar w:fldCharType="end"/>
      </w:r>
      <w:r>
        <w:rPr>
          <w:rFonts w:ascii="Arial Black" w:hAnsi="Arial Black"/>
          <w:sz w:val="22"/>
        </w:rPr>
        <w:t xml:space="preserve">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694"/>
        </w:trPr>
        <w:tc>
          <w:tcPr>
            <w:tcW w:w="887" w:type="pct"/>
            <w:shd w:val="clear" w:color="auto" w:fill="auto"/>
            <w:tcMar>
              <w:top w:w="57" w:type="dxa"/>
              <w:left w:w="0" w:type="dxa"/>
              <w:bottom w:w="57" w:type="dxa"/>
              <w:right w:w="0" w:type="dxa"/>
            </w:tcMar>
          </w:tcPr>
          <w:p>
            <w:pPr>
              <w:pStyle w:val="Grundtext"/>
              <w:spacing w:after="0"/>
            </w:pPr>
            <w:r>
              <w:t>Geburtsdatum</w:t>
            </w:r>
          </w:p>
          <w:p>
            <w:pPr>
              <w:pStyle w:val="Grundtext"/>
              <w:spacing w:after="0"/>
            </w:pP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Zivilrechtlicher Wohnsitz</w:t>
            </w:r>
          </w:p>
        </w:tc>
        <w:tc>
          <w:tcPr>
            <w:tcW w:w="1532" w:type="pct"/>
            <w:shd w:val="clear" w:color="auto" w:fill="auto"/>
            <w:tcMar>
              <w:top w:w="57" w:type="dxa"/>
              <w:left w:w="0" w:type="dxa"/>
              <w:bottom w:w="57" w:type="dxa"/>
              <w:right w:w="0" w:type="dxa"/>
            </w:tcMar>
          </w:tcPr>
          <w:p>
            <w:pPr>
              <w:pStyle w:val="Grundtext"/>
              <w:spacing w:after="0"/>
            </w:pPr>
          </w:p>
        </w:tc>
      </w:tr>
    </w:tbl>
    <w:p>
      <w:pPr>
        <w:pStyle w:val="Grundtext"/>
        <w:spacing w:before="120" w:after="360"/>
      </w:pPr>
      <w:r>
        <w:t>(nachfolgend Pflegekind)</w:t>
      </w:r>
    </w:p>
    <w:p>
      <w:pPr>
        <w:pStyle w:val="Titel0216ptnach"/>
        <w:spacing w:after="0"/>
        <w:rPr>
          <w:sz w:val="22"/>
          <w:szCs w:val="22"/>
        </w:rPr>
      </w:pPr>
      <w:r>
        <w:rPr>
          <w:sz w:val="22"/>
          <w:szCs w:val="22"/>
        </w:rPr>
        <w:fldChar w:fldCharType="begin">
          <w:ffData>
            <w:name w:val=""/>
            <w:enabled/>
            <w:calcOnExit w:val="0"/>
            <w:textInput>
              <w:default w:val="Mu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Mutter</w:t>
      </w:r>
      <w:r>
        <w:rPr>
          <w:sz w:val="22"/>
          <w:szCs w:val="22"/>
        </w:rPr>
        <w:fldChar w:fldCharType="end"/>
      </w:r>
      <w:r>
        <w:rPr>
          <w:sz w:val="22"/>
          <w:szCs w:val="22"/>
        </w:rPr>
        <w:t xml:space="preserve"> </w:t>
      </w:r>
      <w:r>
        <w:rPr>
          <w:sz w:val="22"/>
          <w:szCs w:val="22"/>
        </w:rPr>
        <w:fldChar w:fldCharType="begin">
          <w:ffData>
            <w:name w:val=""/>
            <w:enabled/>
            <w:calcOnExit w:val="0"/>
            <w:textInput>
              <w:default w:val="Der Vater verfügt "/>
            </w:textInput>
          </w:ffData>
        </w:fldChar>
      </w:r>
      <w:r>
        <w:rPr>
          <w:sz w:val="22"/>
          <w:szCs w:val="22"/>
        </w:rPr>
        <w:instrText xml:space="preserve"> FORMTEXT </w:instrText>
      </w:r>
      <w:r>
        <w:rPr>
          <w:sz w:val="22"/>
          <w:szCs w:val="22"/>
        </w:rPr>
      </w:r>
      <w:r>
        <w:rPr>
          <w:sz w:val="22"/>
          <w:szCs w:val="22"/>
        </w:rPr>
        <w:fldChar w:fldCharType="separate"/>
      </w:r>
      <w:r>
        <w:rPr>
          <w:sz w:val="22"/>
          <w:szCs w:val="22"/>
        </w:rPr>
        <w:t>Vater</w:t>
      </w:r>
      <w:r>
        <w:rPr>
          <w:sz w:val="22"/>
          <w:szCs w:val="22"/>
        </w:rPr>
        <w:fldChar w:fldCharType="end"/>
      </w:r>
      <w:r>
        <w:rPr>
          <w:sz w:val="22"/>
          <w:szCs w:val="22"/>
        </w:rPr>
        <w:t xml:space="preserve"> </w:t>
      </w:r>
    </w:p>
    <w:p>
      <w:pPr>
        <w:pStyle w:val="Titel0216ptnach"/>
        <w:spacing w:after="0"/>
        <w:rPr>
          <w:rFonts w:ascii="Arial" w:hAnsi="Arial"/>
          <w:color w:val="FF0000"/>
          <w:sz w:val="21"/>
          <w:szCs w:val="21"/>
        </w:rPr>
      </w:pPr>
      <w:r>
        <w:rPr>
          <w:rFonts w:ascii="Arial" w:hAnsi="Arial"/>
          <w:color w:val="FF0000"/>
          <w:sz w:val="21"/>
          <w:szCs w:val="21"/>
        </w:rPr>
        <w:t xml:space="preserve">Wenn die Eltern verstorben sind: Kontaktangaben löschen.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Verstorben am</w:t>
            </w:r>
          </w:p>
          <w:p>
            <w:pPr>
              <w:pStyle w:val="Grundtext"/>
              <w:spacing w:after="0"/>
            </w:pPr>
            <w:r>
              <w:rPr>
                <w:color w:val="FF0000"/>
              </w:rPr>
              <w:t>[</w:t>
            </w:r>
            <w:proofErr w:type="spellStart"/>
            <w:r>
              <w:rPr>
                <w:color w:val="FF0000"/>
              </w:rPr>
              <w:t>evt.</w:t>
            </w:r>
            <w:proofErr w:type="spellEnd"/>
            <w:r>
              <w:rPr>
                <w:color w:val="FF0000"/>
              </w:rPr>
              <w:t xml:space="preserve"> löschen] </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240" w:after="0"/>
        <w:rPr>
          <w:sz w:val="22"/>
          <w:szCs w:val="22"/>
        </w:rPr>
      </w:pPr>
      <w:r>
        <w:rPr>
          <w:sz w:val="22"/>
          <w:szCs w:val="22"/>
        </w:rPr>
        <w:fldChar w:fldCharType="begin">
          <w:ffData>
            <w:name w:val=""/>
            <w:enabled/>
            <w:calcOnExit w:val="0"/>
            <w:textInput>
              <w:default w:val="Mu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Mutter</w:t>
      </w:r>
      <w:r>
        <w:rPr>
          <w:sz w:val="22"/>
          <w:szCs w:val="22"/>
        </w:rPr>
        <w:fldChar w:fldCharType="end"/>
      </w:r>
      <w:r>
        <w:rPr>
          <w:sz w:val="22"/>
          <w:szCs w:val="22"/>
        </w:rPr>
        <w:t xml:space="preserve"> </w:t>
      </w:r>
      <w:r>
        <w:rPr>
          <w:sz w:val="22"/>
          <w:szCs w:val="22"/>
        </w:rPr>
        <w:fldChar w:fldCharType="begin">
          <w:ffData>
            <w:name w:val=""/>
            <w:enabled/>
            <w:calcOnExit w:val="0"/>
            <w:textInput>
              <w:default w:val="Der Vater verfügt "/>
            </w:textInput>
          </w:ffData>
        </w:fldChar>
      </w:r>
      <w:r>
        <w:rPr>
          <w:sz w:val="22"/>
          <w:szCs w:val="22"/>
        </w:rPr>
        <w:instrText xml:space="preserve"> FORMTEXT </w:instrText>
      </w:r>
      <w:r>
        <w:rPr>
          <w:sz w:val="22"/>
          <w:szCs w:val="22"/>
        </w:rPr>
      </w:r>
      <w:r>
        <w:rPr>
          <w:sz w:val="22"/>
          <w:szCs w:val="22"/>
        </w:rPr>
        <w:fldChar w:fldCharType="separate"/>
      </w:r>
      <w:r>
        <w:rPr>
          <w:sz w:val="22"/>
          <w:szCs w:val="22"/>
        </w:rPr>
        <w:t>Vater</w:t>
      </w:r>
      <w:r>
        <w:rPr>
          <w:sz w:val="22"/>
          <w:szCs w:val="22"/>
        </w:rPr>
        <w:fldChar w:fldCharType="end"/>
      </w:r>
    </w:p>
    <w:p>
      <w:pPr>
        <w:pStyle w:val="Titel0216ptnach"/>
        <w:spacing w:after="0"/>
        <w:rPr>
          <w:rFonts w:ascii="Arial" w:hAnsi="Arial"/>
          <w:color w:val="FF0000"/>
          <w:sz w:val="21"/>
          <w:szCs w:val="21"/>
        </w:rPr>
      </w:pPr>
      <w:r>
        <w:rPr>
          <w:rFonts w:ascii="Arial" w:hAnsi="Arial"/>
          <w:color w:val="FF0000"/>
          <w:sz w:val="21"/>
          <w:szCs w:val="21"/>
        </w:rPr>
        <w:t xml:space="preserve">Wenn die Eltern verstorben sind: Kontaktangaben löschen.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Verstorben am</w:t>
            </w:r>
          </w:p>
          <w:p>
            <w:pPr>
              <w:pStyle w:val="Grundtext"/>
              <w:spacing w:after="0"/>
            </w:pPr>
            <w:r>
              <w:rPr>
                <w:color w:val="FF0000"/>
              </w:rPr>
              <w:t>[</w:t>
            </w:r>
            <w:proofErr w:type="spellStart"/>
            <w:r>
              <w:rPr>
                <w:color w:val="FF0000"/>
              </w:rPr>
              <w:t>evt.</w:t>
            </w:r>
            <w:proofErr w:type="spellEnd"/>
            <w:r>
              <w:rPr>
                <w:color w:val="FF0000"/>
              </w:rPr>
              <w:t xml:space="preserve"> löschen] </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 xml:space="preserve">(nachfolgend </w:t>
      </w:r>
      <w:r>
        <w:rPr>
          <w:rFonts w:ascii="Arial" w:hAnsi="Arial"/>
          <w:sz w:val="21"/>
          <w:szCs w:val="21"/>
        </w:rPr>
        <w:fldChar w:fldCharType="begin">
          <w:ffData>
            <w:name w:val=""/>
            <w:enabled/>
            <w:calcOnExit w:val="0"/>
            <w:textInput>
              <w:default w:val="Elter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Eltern</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Mut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Mutter</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Va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Vater</w:t>
      </w:r>
      <w:r>
        <w:rPr>
          <w:rFonts w:ascii="Arial" w:hAnsi="Arial"/>
          <w:sz w:val="21"/>
          <w:szCs w:val="21"/>
        </w:rPr>
        <w:fldChar w:fldCharType="end"/>
      </w:r>
      <w:r>
        <w:rPr>
          <w:rFonts w:ascii="Arial" w:hAnsi="Arial"/>
          <w:sz w:val="21"/>
          <w:szCs w:val="21"/>
        </w:rPr>
        <w:t>)</w:t>
      </w:r>
    </w:p>
    <w:p>
      <w:pPr>
        <w:pStyle w:val="Titel0216ptnach"/>
        <w:spacing w:after="0"/>
        <w:rPr>
          <w:rFonts w:ascii="Arial" w:hAnsi="Arial"/>
          <w:sz w:val="21"/>
          <w:szCs w:val="21"/>
        </w:rPr>
      </w:pPr>
      <w:r>
        <w:rPr>
          <w:sz w:val="22"/>
          <w:szCs w:val="22"/>
        </w:rPr>
        <w:fldChar w:fldCharType="begin">
          <w:ffData>
            <w:name w:val=""/>
            <w:enabled/>
            <w:calcOnExit w:val="0"/>
            <w:textInput>
              <w:default w:val="Vormundspers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Vormundsperson</w:t>
      </w:r>
      <w:r>
        <w:rPr>
          <w:sz w:val="22"/>
          <w:szCs w:val="22"/>
        </w:rPr>
        <w:fldChar w:fldCharType="end"/>
      </w:r>
      <w:r>
        <w:rPr>
          <w:sz w:val="22"/>
          <w:szCs w:val="22"/>
        </w:rPr>
        <w:t xml:space="preserve">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Organisation/</w:t>
            </w:r>
          </w:p>
          <w:p>
            <w:pPr>
              <w:pStyle w:val="Grundtext"/>
              <w:spacing w:after="0"/>
              <w:rPr>
                <w:color w:val="FF0000"/>
              </w:rPr>
            </w:pPr>
            <w:r>
              <w:t xml:space="preserve">Arbeitgeber </w:t>
            </w:r>
            <w:r>
              <w:rPr>
                <w:color w:val="FF0000"/>
              </w:rPr>
              <w:t>[bei Privatperson löschen]</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lastRenderedPageBreak/>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 xml:space="preserve">(nachfolgend </w:t>
      </w:r>
      <w:proofErr w:type="spellStart"/>
      <w:r>
        <w:rPr>
          <w:rFonts w:ascii="Arial" w:hAnsi="Arial"/>
          <w:sz w:val="21"/>
          <w:szCs w:val="21"/>
        </w:rPr>
        <w:t>Vormundsperson</w:t>
      </w:r>
      <w:proofErr w:type="spellEnd"/>
      <w:r>
        <w:rPr>
          <w:rFonts w:ascii="Arial" w:hAnsi="Arial"/>
          <w:sz w:val="21"/>
          <w:szCs w:val="21"/>
        </w:rPr>
        <w:t>)</w:t>
      </w:r>
    </w:p>
    <w:p>
      <w:pPr>
        <w:pStyle w:val="Titel0216ptnach"/>
        <w:spacing w:before="240" w:after="0"/>
        <w:rPr>
          <w:rFonts w:ascii="Arial" w:hAnsi="Arial"/>
          <w:sz w:val="21"/>
          <w:szCs w:val="21"/>
        </w:rPr>
      </w:pPr>
      <w:r>
        <w:rPr>
          <w:sz w:val="22"/>
          <w:szCs w:val="22"/>
        </w:rPr>
        <w:fldChar w:fldCharType="begin">
          <w:ffData>
            <w:name w:val=""/>
            <w:enabled/>
            <w:calcOnExit w:val="0"/>
            <w:textInput>
              <w:default w:val=" der Pflegemutter"/>
            </w:textInput>
          </w:ffData>
        </w:fldChar>
      </w:r>
      <w:r>
        <w:rPr>
          <w:sz w:val="22"/>
          <w:szCs w:val="22"/>
        </w:rPr>
        <w:instrText xml:space="preserve"> FORMTEXT </w:instrText>
      </w:r>
      <w:r>
        <w:rPr>
          <w:sz w:val="22"/>
          <w:szCs w:val="22"/>
        </w:rPr>
      </w:r>
      <w:r>
        <w:rPr>
          <w:sz w:val="22"/>
          <w:szCs w:val="22"/>
        </w:rPr>
        <w:fldChar w:fldCharType="separate"/>
      </w:r>
      <w:r>
        <w:rPr>
          <w:sz w:val="22"/>
          <w:szCs w:val="22"/>
        </w:rPr>
        <w:t>Pflegemutter</w:t>
      </w:r>
      <w:r>
        <w:rPr>
          <w:sz w:val="22"/>
          <w:szCs w:val="22"/>
        </w:rPr>
        <w:fldChar w:fldCharType="end"/>
      </w:r>
      <w:r>
        <w:rPr>
          <w:sz w:val="22"/>
          <w:szCs w:val="22"/>
        </w:rPr>
        <w:t xml:space="preserve"> </w:t>
      </w:r>
      <w:r>
        <w:rPr>
          <w:sz w:val="22"/>
          <w:szCs w:val="22"/>
        </w:rPr>
        <w:fldChar w:fldCharType="begin">
          <w:ffData>
            <w:name w:val=""/>
            <w:enabled/>
            <w:calcOnExit w:val="0"/>
            <w:textInput>
              <w:default w:val=" dem Pflegevater"/>
            </w:textInput>
          </w:ffData>
        </w:fldChar>
      </w:r>
      <w:r>
        <w:rPr>
          <w:sz w:val="22"/>
          <w:szCs w:val="22"/>
        </w:rPr>
        <w:instrText xml:space="preserve"> FORMTEXT </w:instrText>
      </w:r>
      <w:r>
        <w:rPr>
          <w:sz w:val="22"/>
          <w:szCs w:val="22"/>
        </w:rPr>
      </w:r>
      <w:r>
        <w:rPr>
          <w:sz w:val="22"/>
          <w:szCs w:val="22"/>
        </w:rPr>
        <w:fldChar w:fldCharType="separate"/>
      </w:r>
      <w:r>
        <w:rPr>
          <w:sz w:val="22"/>
          <w:szCs w:val="22"/>
        </w:rPr>
        <w:t>Pflegevater</w:t>
      </w:r>
      <w:r>
        <w:rPr>
          <w:sz w:val="22"/>
          <w:szCs w:val="22"/>
        </w:rPr>
        <w:fldChar w:fldCharType="end"/>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240" w:after="0"/>
        <w:rPr>
          <w:rFonts w:ascii="Arial" w:hAnsi="Arial"/>
          <w:sz w:val="21"/>
          <w:szCs w:val="21"/>
        </w:rPr>
      </w:pPr>
      <w:r>
        <w:rPr>
          <w:sz w:val="22"/>
          <w:szCs w:val="22"/>
        </w:rPr>
        <w:fldChar w:fldCharType="begin">
          <w:ffData>
            <w:name w:val=""/>
            <w:enabled/>
            <w:calcOnExit w:val="0"/>
            <w:textInput>
              <w:default w:val=" der Pflegemutter"/>
            </w:textInput>
          </w:ffData>
        </w:fldChar>
      </w:r>
      <w:r>
        <w:rPr>
          <w:sz w:val="22"/>
          <w:szCs w:val="22"/>
        </w:rPr>
        <w:instrText xml:space="preserve"> FORMTEXT </w:instrText>
      </w:r>
      <w:r>
        <w:rPr>
          <w:sz w:val="22"/>
          <w:szCs w:val="22"/>
        </w:rPr>
      </w:r>
      <w:r>
        <w:rPr>
          <w:sz w:val="22"/>
          <w:szCs w:val="22"/>
        </w:rPr>
        <w:fldChar w:fldCharType="separate"/>
      </w:r>
      <w:r>
        <w:rPr>
          <w:sz w:val="22"/>
          <w:szCs w:val="22"/>
        </w:rPr>
        <w:t>Pflegemutter</w:t>
      </w:r>
      <w:r>
        <w:rPr>
          <w:sz w:val="22"/>
          <w:szCs w:val="22"/>
        </w:rPr>
        <w:fldChar w:fldCharType="end"/>
      </w:r>
      <w:r>
        <w:rPr>
          <w:sz w:val="22"/>
          <w:szCs w:val="22"/>
        </w:rPr>
        <w:t xml:space="preserve"> </w:t>
      </w:r>
      <w:r>
        <w:rPr>
          <w:sz w:val="22"/>
          <w:szCs w:val="22"/>
        </w:rPr>
        <w:fldChar w:fldCharType="begin">
          <w:ffData>
            <w:name w:val=""/>
            <w:enabled/>
            <w:calcOnExit w:val="0"/>
            <w:textInput>
              <w:default w:val=" dem Pflegevater"/>
            </w:textInput>
          </w:ffData>
        </w:fldChar>
      </w:r>
      <w:r>
        <w:rPr>
          <w:sz w:val="22"/>
          <w:szCs w:val="22"/>
        </w:rPr>
        <w:instrText xml:space="preserve"> FORMTEXT </w:instrText>
      </w:r>
      <w:r>
        <w:rPr>
          <w:sz w:val="22"/>
          <w:szCs w:val="22"/>
        </w:rPr>
      </w:r>
      <w:r>
        <w:rPr>
          <w:sz w:val="22"/>
          <w:szCs w:val="22"/>
        </w:rPr>
        <w:fldChar w:fldCharType="separate"/>
      </w:r>
      <w:r>
        <w:rPr>
          <w:sz w:val="22"/>
          <w:szCs w:val="22"/>
        </w:rPr>
        <w:t>Pflegevater</w:t>
      </w:r>
      <w:r>
        <w:rPr>
          <w:sz w:val="22"/>
          <w:szCs w:val="22"/>
        </w:rPr>
        <w:fldChar w:fldCharType="end"/>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(nachfolgend Pflegeeltern)</w:t>
      </w:r>
      <w:r>
        <w:rPr>
          <w:rFonts w:ascii="Arial" w:hAnsi="Arial"/>
          <w:sz w:val="21"/>
          <w:szCs w:val="21"/>
        </w:rPr>
        <w:br w:type="page"/>
      </w:r>
    </w:p>
    <w:p>
      <w:pPr>
        <w:pStyle w:val="Grundtext"/>
      </w:pPr>
      <w:r>
        <w:lastRenderedPageBreak/>
        <w:t xml:space="preserve">Dieser Pflegevertrag ergänzt die Bewilligung zur Familienpflege vom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sowie die jeweils aktuelle Kostenübernahmegarantie (KÜG) des Amtes für Jugend und Berufsberatung (AJB). </w:t>
      </w:r>
      <w:r>
        <w:rPr>
          <w:szCs w:val="21"/>
        </w:rPr>
        <w:t xml:space="preserve">Im Zeitpunkt des Vertragsabschlusses gilt die KÜG vom </w:t>
      </w: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Pr>
          <w:szCs w:val="21"/>
        </w:rPr>
        <w:t>.</w:t>
      </w:r>
    </w:p>
    <w:p>
      <w:pPr>
        <w:pStyle w:val="Titel0216ptnach"/>
        <w:spacing w:after="0"/>
        <w:rPr>
          <w:rFonts w:ascii="Arial" w:hAnsi="Arial"/>
          <w:sz w:val="21"/>
          <w:szCs w:val="21"/>
        </w:rPr>
      </w:pPr>
      <w:r>
        <w:rPr>
          <w:rFonts w:ascii="Arial" w:hAnsi="Arial"/>
          <w:sz w:val="21"/>
          <w:szCs w:val="21"/>
        </w:rPr>
        <w:t xml:space="preserve">Für das Pflegekind </w:t>
      </w:r>
      <w:r>
        <w:rPr>
          <w:rFonts w:ascii="Arial" w:hAnsi="Arial"/>
          <w:sz w:val="21"/>
          <w:szCs w:val="21"/>
        </w:rPr>
        <w:fldChar w:fldCharType="begin">
          <w:ffData>
            <w:name w:val=""/>
            <w:enabled/>
            <w:calcOnExit w:val="0"/>
            <w:textInput>
              <w:default w:val="wurde"/>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wurde</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wurde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wurden</w:t>
      </w:r>
      <w:r>
        <w:rPr>
          <w:rFonts w:ascii="Arial" w:hAnsi="Arial"/>
          <w:sz w:val="21"/>
          <w:szCs w:val="21"/>
        </w:rPr>
        <w:fldChar w:fldCharType="end"/>
      </w:r>
      <w:r>
        <w:rPr>
          <w:rFonts w:ascii="Arial" w:hAnsi="Arial"/>
          <w:sz w:val="21"/>
          <w:szCs w:val="21"/>
        </w:rPr>
        <w:t xml:space="preserve"> folgende Kindesschutzmassnahme</w:t>
      </w:r>
      <w:r>
        <w:rPr>
          <w:rFonts w:ascii="Arial" w:hAnsi="Arial"/>
          <w:sz w:val="21"/>
          <w:szCs w:val="21"/>
        </w:rPr>
        <w:fldChar w:fldCharType="begin">
          <w:ffData>
            <w:name w:val=""/>
            <w:enabled/>
            <w:calcOnExit w:val="0"/>
            <w:textInput>
              <w:default w:val="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n</w:t>
      </w:r>
      <w:r>
        <w:rPr>
          <w:rFonts w:ascii="Arial" w:hAnsi="Arial"/>
          <w:sz w:val="21"/>
          <w:szCs w:val="21"/>
        </w:rPr>
        <w:fldChar w:fldCharType="end"/>
      </w:r>
      <w:r>
        <w:rPr>
          <w:rFonts w:ascii="Arial" w:hAnsi="Arial"/>
          <w:sz w:val="21"/>
          <w:szCs w:val="21"/>
        </w:rPr>
        <w:t xml:space="preserve"> errichtet:</w:t>
      </w:r>
    </w:p>
    <w:p>
      <w:pPr>
        <w:pStyle w:val="Titel0216ptnach"/>
        <w:numPr>
          <w:ilvl w:val="0"/>
          <w:numId w:val="13"/>
        </w:numPr>
        <w:spacing w:after="0" w:line="240" w:lineRule="auto"/>
        <w:ind w:left="714" w:hanging="357"/>
        <w:rPr>
          <w:rFonts w:ascii="Arial" w:hAnsi="Arial"/>
          <w:sz w:val="21"/>
          <w:szCs w:val="21"/>
        </w:rPr>
      </w:pP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mit Beschluss der Kindes- und Erwachsenenbehörde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vom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pPr>
        <w:pStyle w:val="Titel0216ptnach"/>
        <w:numPr>
          <w:ilvl w:val="0"/>
          <w:numId w:val="13"/>
        </w:numPr>
        <w:spacing w:after="248" w:line="240" w:lineRule="auto"/>
        <w:ind w:left="714" w:hanging="357"/>
        <w:rPr>
          <w:rFonts w:ascii="Arial" w:hAnsi="Arial"/>
          <w:sz w:val="21"/>
          <w:szCs w:val="21"/>
        </w:rPr>
      </w:pP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mit Beschluss der Kindes- und Erwachsenenbehörde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vom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pPr>
        <w:pStyle w:val="ListeNummernArabisch"/>
        <w:numPr>
          <w:ilvl w:val="0"/>
          <w:numId w:val="0"/>
        </w:numPr>
        <w:spacing w:after="120"/>
        <w:contextualSpacing w:val="0"/>
        <w:rPr>
          <w:b/>
          <w:szCs w:val="21"/>
        </w:rPr>
      </w:pPr>
      <w:r>
        <w:rPr>
          <w:b/>
          <w:szCs w:val="21"/>
        </w:rPr>
        <w:t>1.</w:t>
      </w:r>
      <w:r>
        <w:rPr>
          <w:b/>
          <w:szCs w:val="21"/>
        </w:rPr>
        <w:tab/>
        <w:t>Pflegeverhältnis</w:t>
      </w:r>
    </w:p>
    <w:p>
      <w:pPr>
        <w:pStyle w:val="ListeNummernArabisch"/>
        <w:numPr>
          <w:ilvl w:val="1"/>
          <w:numId w:val="12"/>
        </w:numPr>
        <w:spacing w:after="120"/>
        <w:ind w:left="709" w:hanging="709"/>
        <w:contextualSpacing w:val="0"/>
        <w:rPr>
          <w:szCs w:val="21"/>
        </w:rPr>
      </w:pPr>
      <w:r>
        <w:rPr>
          <w:szCs w:val="21"/>
        </w:rPr>
        <w:t>Die Pflegeeltern verpflichten sich, das Pflegekind zu betreuen, zu pflegen und zu erziehen und seine gesunde Entwicklung bestmöglich zu fördern.</w:t>
      </w:r>
    </w:p>
    <w:p>
      <w:pPr>
        <w:pStyle w:val="ListeNummernArabisch"/>
        <w:numPr>
          <w:ilvl w:val="1"/>
          <w:numId w:val="12"/>
        </w:numPr>
        <w:spacing w:after="120"/>
        <w:ind w:left="709" w:hanging="709"/>
        <w:contextualSpacing w:val="0"/>
        <w:rPr>
          <w:szCs w:val="21"/>
        </w:rPr>
      </w:pPr>
      <w:r>
        <w:rPr>
          <w:szCs w:val="21"/>
        </w:rPr>
        <w:t xml:space="preserve">Beginn des Pflegeverhältnisses: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1"/>
          <w:numId w:val="12"/>
        </w:numPr>
        <w:rPr>
          <w:szCs w:val="21"/>
        </w:rPr>
      </w:pPr>
      <w:r>
        <w:rPr>
          <w:szCs w:val="21"/>
        </w:rPr>
        <w:t>Der Pflegevertrag wird abgeschlossen:</w:t>
      </w:r>
    </w:p>
    <w:p>
      <w:pPr>
        <w:pStyle w:val="ListeNummernArabisch"/>
        <w:numPr>
          <w:ilvl w:val="0"/>
          <w:numId w:val="0"/>
        </w:numPr>
        <w:ind w:left="710"/>
      </w:pPr>
      <w:sdt>
        <w:sdtPr>
          <w:rPr>
            <w:rFonts w:ascii="Arial Black" w:hAnsi="Arial Black"/>
          </w:rPr>
          <w:id w:val="376976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unbefristet</w:t>
      </w:r>
    </w:p>
    <w:p>
      <w:pPr>
        <w:pStyle w:val="ListeNummernArabisch"/>
        <w:numPr>
          <w:ilvl w:val="0"/>
          <w:numId w:val="0"/>
        </w:numPr>
        <w:spacing w:after="120"/>
        <w:ind w:left="709"/>
        <w:contextualSpacing w:val="0"/>
        <w:rPr>
          <w:szCs w:val="21"/>
        </w:rPr>
      </w:pPr>
      <w:sdt>
        <w:sdtPr>
          <w:rPr>
            <w:rFonts w:ascii="Arial Black" w:hAnsi="Arial Black"/>
          </w:rPr>
          <w:id w:val="1352526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befristet bis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rPr>
          <w:szCs w:val="21"/>
        </w:rPr>
      </w:pPr>
      <w:r>
        <w:rPr>
          <w:szCs w:val="21"/>
        </w:rPr>
        <w:t>1.4</w:t>
      </w:r>
      <w:r>
        <w:rPr>
          <w:szCs w:val="21"/>
        </w:rPr>
        <w:tab/>
        <w:t>Das Pflegekind wird von den Pflegeeltern an folgenden Tagen pro Woche betreut:</w:t>
      </w:r>
    </w:p>
    <w:p>
      <w:pPr>
        <w:pStyle w:val="ListeNummernArabisch"/>
        <w:numPr>
          <w:ilvl w:val="0"/>
          <w:numId w:val="0"/>
        </w:numPr>
        <w:spacing w:after="0"/>
        <w:ind w:left="709" w:firstLine="1"/>
        <w:contextualSpacing w:val="0"/>
      </w:pPr>
      <w:sdt>
        <w:sdtPr>
          <w:rPr>
            <w:rFonts w:ascii="Arial Black" w:hAnsi="Arial Black"/>
          </w:rPr>
          <w:id w:val="1611243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Montag </w:t>
      </w:r>
      <w:r>
        <w:tab/>
      </w:r>
      <w:r>
        <w:tab/>
      </w:r>
      <w:sdt>
        <w:sdtPr>
          <w:rPr>
            <w:rFonts w:ascii="Arial Black" w:hAnsi="Arial Black"/>
          </w:rPr>
          <w:id w:val="26158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Dienstag</w:t>
      </w:r>
    </w:p>
    <w:p>
      <w:pPr>
        <w:pStyle w:val="ListeNummernArabisch"/>
        <w:numPr>
          <w:ilvl w:val="0"/>
          <w:numId w:val="0"/>
        </w:numPr>
        <w:spacing w:after="0"/>
        <w:ind w:left="709" w:firstLine="1"/>
        <w:contextualSpacing w:val="0"/>
      </w:pPr>
      <w:sdt>
        <w:sdtPr>
          <w:rPr>
            <w:rFonts w:ascii="Arial Black" w:hAnsi="Arial Black"/>
          </w:rPr>
          <w:id w:val="-750660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Black" w:hAnsi="Arial Black"/>
        </w:rPr>
        <w:t xml:space="preserve"> </w:t>
      </w:r>
      <w:r>
        <w:t>Dienstag</w:t>
      </w:r>
      <w:r>
        <w:tab/>
      </w:r>
      <w:r>
        <w:tab/>
      </w:r>
      <w:sdt>
        <w:sdtPr>
          <w:rPr>
            <w:rFonts w:ascii="Arial Black" w:hAnsi="Arial Black"/>
          </w:rPr>
          <w:id w:val="-1924791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Mittwoch</w:t>
      </w:r>
    </w:p>
    <w:p>
      <w:pPr>
        <w:pStyle w:val="ListeNummernArabisch"/>
        <w:numPr>
          <w:ilvl w:val="0"/>
          <w:numId w:val="0"/>
        </w:numPr>
        <w:spacing w:after="0"/>
        <w:ind w:left="709" w:firstLine="1"/>
        <w:contextualSpacing w:val="0"/>
      </w:pPr>
      <w:sdt>
        <w:sdtPr>
          <w:rPr>
            <w:rFonts w:ascii="Arial Black" w:hAnsi="Arial Black"/>
          </w:rPr>
          <w:id w:val="41955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Mittwoch </w:t>
      </w:r>
      <w:r>
        <w:tab/>
      </w:r>
      <w:r>
        <w:tab/>
      </w:r>
      <w:sdt>
        <w:sdtPr>
          <w:rPr>
            <w:rFonts w:ascii="Arial Black" w:hAnsi="Arial Black"/>
          </w:rPr>
          <w:id w:val="520670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Donnerstag</w:t>
      </w:r>
    </w:p>
    <w:p>
      <w:pPr>
        <w:pStyle w:val="ListeNummernArabisch"/>
        <w:numPr>
          <w:ilvl w:val="0"/>
          <w:numId w:val="0"/>
        </w:numPr>
        <w:spacing w:after="0"/>
        <w:ind w:left="709"/>
        <w:contextualSpacing w:val="0"/>
      </w:pPr>
      <w:sdt>
        <w:sdtPr>
          <w:rPr>
            <w:rFonts w:ascii="Arial Black" w:hAnsi="Arial Black"/>
          </w:rPr>
          <w:id w:val="-1812239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Donnerstag</w:t>
      </w:r>
      <w:r>
        <w:tab/>
      </w:r>
      <w:r>
        <w:tab/>
      </w:r>
      <w:sdt>
        <w:sdtPr>
          <w:rPr>
            <w:rFonts w:ascii="Arial Black" w:hAnsi="Arial Black"/>
          </w:rPr>
          <w:id w:val="-729845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Freitag</w:t>
      </w:r>
    </w:p>
    <w:p>
      <w:pPr>
        <w:pStyle w:val="ListeNummernArabisch"/>
        <w:numPr>
          <w:ilvl w:val="0"/>
          <w:numId w:val="0"/>
        </w:numPr>
        <w:spacing w:after="0"/>
        <w:ind w:left="709"/>
        <w:contextualSpacing w:val="0"/>
      </w:pPr>
      <w:sdt>
        <w:sdtPr>
          <w:rPr>
            <w:rFonts w:ascii="Arial Black" w:hAnsi="Arial Black"/>
          </w:rPr>
          <w:id w:val="-886172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Freitag</w:t>
      </w:r>
      <w:r>
        <w:tab/>
      </w:r>
      <w:r>
        <w:tab/>
      </w:r>
      <w:sdt>
        <w:sdtPr>
          <w:rPr>
            <w:rFonts w:ascii="Arial Black" w:hAnsi="Arial Black"/>
          </w:rPr>
          <w:id w:val="1528292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Samstag</w:t>
      </w:r>
    </w:p>
    <w:p>
      <w:pPr>
        <w:pStyle w:val="ListeNummernArabisch"/>
        <w:numPr>
          <w:ilvl w:val="0"/>
          <w:numId w:val="0"/>
        </w:numPr>
        <w:spacing w:after="0"/>
        <w:ind w:left="709"/>
        <w:contextualSpacing w:val="0"/>
      </w:pPr>
      <w:sdt>
        <w:sdtPr>
          <w:rPr>
            <w:rFonts w:ascii="Arial Black" w:hAnsi="Arial Black"/>
          </w:rPr>
          <w:id w:val="-8881116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Samstag</w:t>
      </w:r>
      <w:r>
        <w:tab/>
      </w:r>
      <w:r>
        <w:tab/>
      </w:r>
      <w:sdt>
        <w:sdtPr>
          <w:rPr>
            <w:rFonts w:ascii="Arial Black" w:hAnsi="Arial Black"/>
          </w:rPr>
          <w:id w:val="-702176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Sonntag</w:t>
      </w:r>
    </w:p>
    <w:p>
      <w:pPr>
        <w:pStyle w:val="ListeNummernArabisch"/>
        <w:numPr>
          <w:ilvl w:val="0"/>
          <w:numId w:val="0"/>
        </w:numPr>
        <w:spacing w:line="240" w:lineRule="auto"/>
        <w:ind w:left="709"/>
        <w:contextualSpacing w:val="0"/>
      </w:pPr>
      <w:sdt>
        <w:sdtPr>
          <w:rPr>
            <w:rFonts w:ascii="Arial Black" w:hAnsi="Arial Black"/>
          </w:rPr>
          <w:id w:val="18663354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Sonntag</w:t>
      </w:r>
      <w:r>
        <w:tab/>
      </w:r>
      <w:r>
        <w:tab/>
      </w:r>
      <w:sdt>
        <w:sdtPr>
          <w:rPr>
            <w:rFonts w:ascii="Arial Black" w:hAnsi="Arial Black"/>
          </w:rPr>
          <w:id w:val="-1491246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Montag</w:t>
      </w:r>
    </w:p>
    <w:p>
      <w:pPr>
        <w:spacing w:after="120" w:line="276" w:lineRule="auto"/>
        <w:rPr>
          <w:rFonts w:eastAsia="Times New Roman" w:cs="Arial"/>
          <w:b/>
          <w:color w:val="000000"/>
          <w:szCs w:val="20"/>
        </w:rPr>
      </w:pPr>
      <w:r>
        <w:rPr>
          <w:rFonts w:eastAsia="Times New Roman" w:cs="Arial"/>
          <w:b/>
          <w:color w:val="000000"/>
          <w:szCs w:val="20"/>
        </w:rPr>
        <w:t>2.</w:t>
      </w:r>
      <w:r>
        <w:rPr>
          <w:rFonts w:eastAsia="Times New Roman" w:cs="Arial"/>
          <w:b/>
          <w:color w:val="000000"/>
          <w:szCs w:val="20"/>
        </w:rPr>
        <w:tab/>
        <w:t>Verpflegungsbeitrag, Nebenkosten und weitere Kosten</w:t>
      </w:r>
    </w:p>
    <w:p>
      <w:pPr>
        <w:pStyle w:val="ListeNummernArabisch"/>
        <w:numPr>
          <w:ilvl w:val="0"/>
          <w:numId w:val="0"/>
        </w:numPr>
        <w:spacing w:after="120"/>
        <w:ind w:left="709" w:hanging="709"/>
        <w:contextualSpacing w:val="0"/>
      </w:pPr>
      <w:r>
        <w:t>2.1</w:t>
      </w:r>
      <w:r>
        <w:tab/>
        <w:t xml:space="preserve">Beim Verpflegungsbeitrag, bei den Nebenkosten und bei den weiteren Kosten handelt es sich um Unterhaltskosten (Art. 276 ZGB). Die </w:t>
      </w:r>
      <w:proofErr w:type="spellStart"/>
      <w:r>
        <w:t>Vormundsperson</w:t>
      </w:r>
      <w:proofErr w:type="spellEnd"/>
      <w:r>
        <w:t xml:space="preserve"> veranlasst die erforderlichen Unterhaltstitel oder Kostengutsprachen der Sozialbehörde, soweit dies nicht bereits erfolgt ist. Erteilte Kostengutsprachen leitet die </w:t>
      </w:r>
      <w:proofErr w:type="spellStart"/>
      <w:r>
        <w:t>Vormundsperson</w:t>
      </w:r>
      <w:proofErr w:type="spellEnd"/>
      <w:r>
        <w:t xml:space="preserve"> den Pflegeeltern weiter.  </w:t>
      </w:r>
    </w:p>
    <w:p>
      <w:pPr>
        <w:pStyle w:val="ListeNummernArabisch"/>
        <w:numPr>
          <w:ilvl w:val="0"/>
          <w:numId w:val="0"/>
        </w:numPr>
        <w:spacing w:after="120"/>
        <w:ind w:left="709" w:hanging="709"/>
        <w:contextualSpacing w:val="0"/>
      </w:pPr>
      <w:r>
        <w:t>2.2</w:t>
      </w:r>
      <w:r>
        <w:tab/>
        <w:t xml:space="preserve">Den Pflegeeltern steht ein Verpflegungsbeitrag in der Höhe von Fr. 25 pro Aufenthaltstag zu. Als Aufenthaltstag zählen Tage, an denen das Pflegekind wenigstens eine Hauptmahlzeit (Mittag- oder Abendessen) bei den Pflegeeltern einnimmt. Zieht das Pflegekind zu einer anderen Pflegefamilie oder in ein Heim, ist der Verpflegungsbeitrag dort geschuldet, wo das Pflegekind nach dem Umzug übernachtet. </w:t>
      </w:r>
    </w:p>
    <w:p>
      <w:pPr>
        <w:pStyle w:val="ListeNummernArabisch"/>
        <w:numPr>
          <w:ilvl w:val="0"/>
          <w:numId w:val="0"/>
        </w:numPr>
        <w:spacing w:after="120"/>
        <w:contextualSpacing w:val="0"/>
        <w:rPr>
          <w:color w:val="FF0000"/>
        </w:rPr>
      </w:pPr>
      <w:r>
        <w:rPr>
          <w:color w:val="FF0000"/>
          <w:szCs w:val="21"/>
        </w:rPr>
        <w:t xml:space="preserve">Ziff. 2.3 (Zahlungsmodalitäten betr. Verpflegungsbeitrag): </w:t>
      </w:r>
      <w:r>
        <w:rPr>
          <w:color w:val="FF0000"/>
        </w:rPr>
        <w:t xml:space="preserve">Eine der nachstehenden Varianten (A/B) auswählen, andere Variante löschen. </w:t>
      </w:r>
    </w:p>
    <w:p>
      <w:pPr>
        <w:pStyle w:val="ListeNummernArabisch"/>
        <w:numPr>
          <w:ilvl w:val="0"/>
          <w:numId w:val="0"/>
        </w:numPr>
        <w:spacing w:after="120"/>
        <w:ind w:left="567" w:hanging="567"/>
        <w:contextualSpacing w:val="0"/>
        <w:rPr>
          <w:color w:val="FF0000"/>
        </w:rPr>
      </w:pPr>
      <w:r>
        <w:rPr>
          <w:color w:val="FF0000"/>
        </w:rPr>
        <w:t>Variante A</w:t>
      </w:r>
    </w:p>
    <w:p>
      <w:pPr>
        <w:pStyle w:val="ListeNummernArabisch"/>
        <w:numPr>
          <w:ilvl w:val="0"/>
          <w:numId w:val="0"/>
        </w:numPr>
        <w:spacing w:after="120"/>
        <w:ind w:left="709" w:hanging="709"/>
        <w:contextualSpacing w:val="0"/>
      </w:pPr>
      <w:r>
        <w:t>2.3</w:t>
      </w:r>
      <w:r>
        <w:tab/>
        <w:t xml:space="preserve">Die Pflegeeltern stellen der </w:t>
      </w:r>
      <w:proofErr w:type="spellStart"/>
      <w:r>
        <w:t>Vormundsperson</w:t>
      </w:r>
      <w:proofErr w:type="spellEnd"/>
      <w:r>
        <w:t xml:space="preserve"> für den Verpflegungsbeitrag monatlich, jeweils bis zum zehnten Tag des Folgemonats, Rechnung. Die </w:t>
      </w:r>
      <w:proofErr w:type="spellStart"/>
      <w:r>
        <w:t>Vormundsperson</w:t>
      </w:r>
      <w:proofErr w:type="spellEnd"/>
      <w:r>
        <w:t xml:space="preserve"> sorgt dafür, dass die Rechnung bis zum Ende des Monats beglichen wird.</w:t>
      </w:r>
    </w:p>
    <w:p>
      <w:pPr>
        <w:spacing w:after="0"/>
        <w:ind w:left="709"/>
        <w:rPr>
          <w:rFonts w:cs="Arial"/>
          <w:szCs w:val="21"/>
        </w:rPr>
      </w:pPr>
      <w:r>
        <w:t>D</w:t>
      </w:r>
      <w:r>
        <w:rPr>
          <w:rFonts w:cs="Arial"/>
          <w:szCs w:val="21"/>
        </w:rPr>
        <w:t>ie Überweisung erfolgt auf folgendes Konto:</w:t>
      </w:r>
    </w:p>
    <w:p>
      <w:pPr>
        <w:spacing w:after="0"/>
        <w:ind w:firstLine="709"/>
        <w:rPr>
          <w:rFonts w:cs="Arial"/>
          <w:szCs w:val="21"/>
        </w:rPr>
      </w:pPr>
      <w:r>
        <w:rPr>
          <w:rFonts w:cs="Arial"/>
          <w:szCs w:val="21"/>
        </w:rPr>
        <w:t xml:space="preserve">Name Kontoinhaber (Pflegemutter und/oder -vater):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after="120"/>
        <w:ind w:firstLine="709"/>
        <w:rPr>
          <w:rFonts w:cs="Arial"/>
          <w:szCs w:val="21"/>
        </w:rPr>
      </w:pPr>
      <w:r>
        <w:rPr>
          <w:rFonts w:cs="Arial"/>
          <w:szCs w:val="21"/>
        </w:rPr>
        <w:t xml:space="preserve">IBAN Konto Nr.: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567" w:hanging="567"/>
        <w:contextualSpacing w:val="0"/>
        <w:rPr>
          <w:color w:val="FF0000"/>
        </w:rPr>
      </w:pPr>
      <w:r>
        <w:rPr>
          <w:color w:val="FF0000"/>
        </w:rPr>
        <w:t>Variante B</w:t>
      </w:r>
    </w:p>
    <w:p>
      <w:pPr>
        <w:pStyle w:val="ListeNummernArabisch"/>
        <w:numPr>
          <w:ilvl w:val="0"/>
          <w:numId w:val="0"/>
        </w:numPr>
        <w:spacing w:after="120"/>
        <w:ind w:left="709" w:hanging="709"/>
        <w:contextualSpacing w:val="0"/>
      </w:pPr>
      <w:r>
        <w:lastRenderedPageBreak/>
        <w:t>2.3</w:t>
      </w:r>
      <w:r>
        <w:tab/>
      </w:r>
      <w:r>
        <w:rPr>
          <w:noProof/>
        </w:rPr>
        <w:t>Die</w:t>
      </w:r>
      <w:r>
        <w:t xml:space="preserve"> Modalitäten betreffend die Begleichung des Verpflegungsbeitrags ergeben sich aus der Kostengutsprache der Sozialbehörde.</w:t>
      </w:r>
    </w:p>
    <w:p>
      <w:pPr>
        <w:pStyle w:val="ListeNummernArabisch"/>
        <w:numPr>
          <w:ilvl w:val="0"/>
          <w:numId w:val="0"/>
        </w:numPr>
        <w:ind w:left="709" w:hanging="709"/>
        <w:contextualSpacing w:val="0"/>
      </w:pPr>
      <w:r>
        <w:t>2.4</w:t>
      </w:r>
      <w:r>
        <w:tab/>
        <w:t>Unter die Nebenkosten fallen folgende Leistungen: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trPr>
          <w:trHeight w:val="604"/>
        </w:trPr>
        <w:tc>
          <w:tcPr>
            <w:tcW w:w="8363" w:type="dxa"/>
          </w:tcPr>
          <w:p>
            <w:pPr>
              <w:pStyle w:val="ListeNummernArabisch"/>
              <w:numPr>
                <w:ilvl w:val="0"/>
                <w:numId w:val="0"/>
              </w:numPr>
              <w:spacing w:after="120"/>
              <w:contextualSpacing w:val="0"/>
            </w:pPr>
            <w:r>
              <w:rPr>
                <w:b/>
              </w:rPr>
              <w:t>Taschengeld</w:t>
            </w:r>
            <w:r>
              <w:br/>
              <w:t>(auswärts eingenommene Getränke, Vereinsbeiträge, kleine Geschenke etc.)</w:t>
            </w:r>
          </w:p>
        </w:tc>
      </w:tr>
      <w:tr>
        <w:trPr>
          <w:trHeight w:val="428"/>
        </w:trPr>
        <w:tc>
          <w:tcPr>
            <w:tcW w:w="8363" w:type="dxa"/>
          </w:tcPr>
          <w:p>
            <w:pPr>
              <w:pStyle w:val="ListeNummernArabisch"/>
              <w:numPr>
                <w:ilvl w:val="0"/>
                <w:numId w:val="0"/>
              </w:numPr>
              <w:tabs>
                <w:tab w:val="left" w:pos="6521"/>
              </w:tabs>
              <w:spacing w:after="120"/>
              <w:contextualSpacing w:val="0"/>
            </w:pPr>
            <w:r>
              <w:rPr>
                <w:b/>
                <w:color w:val="auto"/>
              </w:rPr>
              <w:t>Bekleidung und Schuhe</w:t>
            </w:r>
            <w:r>
              <w:rPr>
                <w:color w:val="auto"/>
              </w:rPr>
              <w:t xml:space="preserve"> </w:t>
            </w:r>
          </w:p>
        </w:tc>
      </w:tr>
      <w:tr>
        <w:tc>
          <w:tcPr>
            <w:tcW w:w="8363" w:type="dxa"/>
          </w:tcPr>
          <w:p>
            <w:pPr>
              <w:pStyle w:val="ListeNummernArabisch"/>
              <w:numPr>
                <w:ilvl w:val="0"/>
                <w:numId w:val="0"/>
              </w:numPr>
              <w:spacing w:after="120"/>
              <w:contextualSpacing w:val="0"/>
            </w:pPr>
            <w:r>
              <w:rPr>
                <w:b/>
              </w:rPr>
              <w:t>Persönliche Pflege</w:t>
            </w:r>
            <w:r>
              <w:br/>
              <w:t>(Artikel für die Körperpflege, selbstgekaufte Medikamente, Windeln, Coiffure, etc.)</w:t>
            </w:r>
          </w:p>
        </w:tc>
      </w:tr>
      <w:tr>
        <w:tc>
          <w:tcPr>
            <w:tcW w:w="8363" w:type="dxa"/>
          </w:tcPr>
          <w:p>
            <w:pPr>
              <w:pStyle w:val="ListeNummernArabisch"/>
              <w:numPr>
                <w:ilvl w:val="0"/>
                <w:numId w:val="0"/>
              </w:numPr>
              <w:spacing w:after="0"/>
              <w:contextualSpacing w:val="0"/>
              <w:rPr>
                <w:b/>
              </w:rPr>
            </w:pPr>
            <w:r>
              <w:rPr>
                <w:b/>
              </w:rPr>
              <w:t>Verkehrsauslagen inkl. Halbtax-Abo</w:t>
            </w:r>
          </w:p>
          <w:p>
            <w:pPr>
              <w:pStyle w:val="ListeNummernArabisch"/>
              <w:numPr>
                <w:ilvl w:val="0"/>
                <w:numId w:val="0"/>
              </w:numPr>
              <w:spacing w:after="120"/>
              <w:contextualSpacing w:val="0"/>
            </w:pPr>
            <w:r>
              <w:t>(örtlicher Nahverkehr, Unterhalt Velo/Mofa)</w:t>
            </w:r>
          </w:p>
        </w:tc>
      </w:tr>
      <w:tr>
        <w:tc>
          <w:tcPr>
            <w:tcW w:w="8363" w:type="dxa"/>
          </w:tcPr>
          <w:p>
            <w:pPr>
              <w:pStyle w:val="ListeNummernArabisch"/>
              <w:numPr>
                <w:ilvl w:val="0"/>
                <w:numId w:val="0"/>
              </w:numPr>
              <w:tabs>
                <w:tab w:val="left" w:pos="6521"/>
              </w:tabs>
              <w:spacing w:after="0"/>
              <w:ind w:left="567" w:hanging="567"/>
              <w:contextualSpacing w:val="0"/>
              <w:rPr>
                <w:b/>
              </w:rPr>
            </w:pPr>
            <w:r>
              <w:rPr>
                <w:b/>
              </w:rPr>
              <w:t>Nachrichtenübermittlung, Internet, Radio/TV</w:t>
            </w:r>
          </w:p>
          <w:p>
            <w:pPr>
              <w:pStyle w:val="ListeNummernArabisch"/>
              <w:numPr>
                <w:ilvl w:val="0"/>
                <w:numId w:val="0"/>
              </w:numPr>
              <w:tabs>
                <w:tab w:val="left" w:pos="6521"/>
              </w:tabs>
              <w:spacing w:after="120"/>
              <w:ind w:left="567" w:hanging="567"/>
              <w:contextualSpacing w:val="0"/>
            </w:pPr>
            <w:r>
              <w:t>(z.B. Post, Handy- und Internet-Abo, IT-Zubehör)</w:t>
            </w:r>
          </w:p>
        </w:tc>
      </w:tr>
      <w:tr>
        <w:tc>
          <w:tcPr>
            <w:tcW w:w="8363" w:type="dxa"/>
          </w:tcPr>
          <w:p>
            <w:pPr>
              <w:pStyle w:val="ListeNummernArabisch"/>
              <w:numPr>
                <w:ilvl w:val="0"/>
                <w:numId w:val="0"/>
              </w:numPr>
              <w:tabs>
                <w:tab w:val="left" w:pos="6521"/>
              </w:tabs>
              <w:spacing w:after="0"/>
              <w:ind w:left="567" w:hanging="567"/>
              <w:contextualSpacing w:val="0"/>
              <w:rPr>
                <w:b/>
              </w:rPr>
            </w:pPr>
            <w:r>
              <w:rPr>
                <w:b/>
              </w:rPr>
              <w:t>Bildung, Freizeit, Sport und Unterhaltung</w:t>
            </w:r>
          </w:p>
          <w:p>
            <w:pPr>
              <w:pStyle w:val="ListeNummernArabisch"/>
              <w:numPr>
                <w:ilvl w:val="0"/>
                <w:numId w:val="0"/>
              </w:numPr>
              <w:tabs>
                <w:tab w:val="left" w:pos="6521"/>
              </w:tabs>
              <w:spacing w:after="120"/>
              <w:ind w:left="567" w:hanging="567"/>
              <w:contextualSpacing w:val="0"/>
            </w:pPr>
            <w:r>
              <w:t xml:space="preserve">(z.B. </w:t>
            </w:r>
            <w:proofErr w:type="spellStart"/>
            <w:r>
              <w:t>Fitnessabo</w:t>
            </w:r>
            <w:proofErr w:type="spellEnd"/>
            <w:r>
              <w:t>, Zeitschriften, Bücher, Spielzeug, Streaming-Abos, Kino)</w:t>
            </w:r>
          </w:p>
        </w:tc>
      </w:tr>
      <w:tr>
        <w:tc>
          <w:tcPr>
            <w:tcW w:w="8363" w:type="dxa"/>
          </w:tcPr>
          <w:p>
            <w:pPr>
              <w:pStyle w:val="ListeNummernArabisch"/>
              <w:numPr>
                <w:ilvl w:val="0"/>
                <w:numId w:val="0"/>
              </w:numPr>
              <w:tabs>
                <w:tab w:val="left" w:pos="6521"/>
              </w:tabs>
              <w:spacing w:after="0"/>
              <w:ind w:left="567" w:hanging="567"/>
              <w:contextualSpacing w:val="0"/>
              <w:rPr>
                <w:b/>
              </w:rPr>
            </w:pPr>
            <w:r>
              <w:rPr>
                <w:b/>
              </w:rPr>
              <w:t>Persönliche Ausstattung</w:t>
            </w:r>
          </w:p>
          <w:p>
            <w:pPr>
              <w:pStyle w:val="ListeNummernArabisch"/>
              <w:numPr>
                <w:ilvl w:val="0"/>
                <w:numId w:val="0"/>
              </w:numPr>
              <w:tabs>
                <w:tab w:val="left" w:pos="6521"/>
              </w:tabs>
              <w:spacing w:after="120"/>
              <w:ind w:left="567" w:hanging="567"/>
              <w:contextualSpacing w:val="0"/>
            </w:pPr>
            <w:r>
              <w:t>(z.B. Schreibmaterial)</w:t>
            </w:r>
          </w:p>
        </w:tc>
      </w:tr>
    </w:tbl>
    <w:p>
      <w:pPr>
        <w:pStyle w:val="ListeNummernArabisch"/>
        <w:numPr>
          <w:ilvl w:val="0"/>
          <w:numId w:val="0"/>
        </w:numPr>
        <w:spacing w:before="240" w:after="120"/>
        <w:ind w:left="709"/>
        <w:contextualSpacing w:val="0"/>
      </w:pPr>
      <w:r>
        <w:t xml:space="preserve">Die Pflegeeltern haben für die Begleichung der anfallenden Nebenkosten Anspruch auf eine Pauschale in der Höhe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Die Pauschale ist für jeden Monat geschuldet, in dem das Pflegekind von den Pflegeeltern betreut wird, auch wenn das Pflegeverhältnis im betreffenden Monat unterbrochen wird oder endet. Die mit der Pauschale abgedeckten Nebenkosten werden für den betreffenden Monat vollumfänglich durch die Pflegeeltern beglichen.</w:t>
      </w:r>
    </w:p>
    <w:p>
      <w:pPr>
        <w:pStyle w:val="ListeNummernArabisch"/>
        <w:numPr>
          <w:ilvl w:val="0"/>
          <w:numId w:val="0"/>
        </w:numPr>
        <w:spacing w:after="120"/>
        <w:ind w:left="709"/>
        <w:contextualSpacing w:val="0"/>
      </w:pPr>
      <w:r>
        <w:t>Allenfalls zusätzlich:</w:t>
      </w:r>
    </w:p>
    <w:p>
      <w:pPr>
        <w:pStyle w:val="ListeNummernArabisch"/>
        <w:numPr>
          <w:ilvl w:val="0"/>
          <w:numId w:val="0"/>
        </w:numPr>
        <w:spacing w:after="120"/>
        <w:ind w:left="709"/>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Die Pauschale richtet sich nach den Empfehlungen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der Sozialkonferenz des Kantons Zürich zu den individuellen Auslagen von Minderjährigen und jungen Erwachsenen bei Platzierungen in Familien- und Heimpflegeangeboten nach KJG. Sie wird bei Übertritt in eine neue Lebensphase automatisch erhöht. </w:t>
      </w:r>
    </w:p>
    <w:p>
      <w:pPr>
        <w:pStyle w:val="ListeNummernArabisch"/>
        <w:numPr>
          <w:ilvl w:val="0"/>
          <w:numId w:val="0"/>
        </w:numPr>
        <w:spacing w:after="240"/>
        <w:ind w:left="709" w:hanging="709"/>
        <w:contextualSpacing w:val="0"/>
        <w:rPr>
          <w:color w:val="FF0000"/>
        </w:rPr>
      </w:pPr>
      <w:r>
        <w:t>2.5</w:t>
      </w:r>
      <w:r>
        <w:tab/>
        <w:t xml:space="preserve">Die nachstehenden Kosten (sogenannte weitere Kosten) sind in den Ziffern 2.2 ff. nicht inbegriffen. Sie werden von den Pflegeeltern beglichen. </w:t>
      </w:r>
      <w:r>
        <w:rPr>
          <w:color w:val="FF0000"/>
        </w:rPr>
        <w:t>[Die Beträge für die einzelnen Kostenstellen können bei Bedarf in der rechten Spalte der Tabelle dokumentiert werden.]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546"/>
      </w:tblGrid>
      <w:tr>
        <w:trPr>
          <w:trHeight w:val="604"/>
        </w:trPr>
        <w:tc>
          <w:tcPr>
            <w:tcW w:w="5807" w:type="dxa"/>
          </w:tcPr>
          <w:p>
            <w:pPr>
              <w:pStyle w:val="ListeNummernArabisch"/>
              <w:numPr>
                <w:ilvl w:val="0"/>
                <w:numId w:val="0"/>
              </w:numPr>
              <w:spacing w:after="120"/>
              <w:contextualSpacing w:val="0"/>
            </w:pPr>
            <w:r>
              <w:rPr>
                <w:b/>
              </w:rPr>
              <w:t>Kosten der medizinischen Grundversorgung,</w:t>
            </w:r>
            <w:r>
              <w:br/>
              <w:t>insb. KVG-Prämien</w:t>
            </w:r>
          </w:p>
        </w:tc>
        <w:tc>
          <w:tcPr>
            <w:tcW w:w="2546" w:type="dxa"/>
          </w:tcPr>
          <w:p>
            <w:pPr>
              <w:pStyle w:val="ListeNummernArabisch"/>
              <w:numPr>
                <w:ilvl w:val="0"/>
                <w:numId w:val="0"/>
              </w:numPr>
              <w:spacing w:after="120"/>
              <w:contextualSpacing w:val="0"/>
            </w:pPr>
          </w:p>
        </w:tc>
      </w:tr>
      <w:tr>
        <w:trPr>
          <w:trHeight w:val="428"/>
        </w:trPr>
        <w:tc>
          <w:tcPr>
            <w:tcW w:w="5807" w:type="dxa"/>
          </w:tcPr>
          <w:p>
            <w:pPr>
              <w:pStyle w:val="ListeNummernArabisch"/>
              <w:numPr>
                <w:ilvl w:val="0"/>
                <w:numId w:val="0"/>
              </w:numPr>
              <w:spacing w:after="120"/>
              <w:contextualSpacing w:val="0"/>
            </w:pPr>
            <w:r>
              <w:rPr>
                <w:b/>
              </w:rPr>
              <w:t>Kosten der individuellen Förderung,</w:t>
            </w:r>
            <w:r>
              <w:t xml:space="preserve"> </w:t>
            </w:r>
            <w:r>
              <w:br/>
              <w:t>insb. für Instrumentalunterricht und Vereinssport</w:t>
            </w:r>
          </w:p>
        </w:tc>
        <w:tc>
          <w:tcPr>
            <w:tcW w:w="2546" w:type="dxa"/>
          </w:tcPr>
          <w:p>
            <w:pPr>
              <w:pStyle w:val="ListeNummernArabisch"/>
              <w:numPr>
                <w:ilvl w:val="0"/>
                <w:numId w:val="0"/>
              </w:numPr>
              <w:spacing w:after="120"/>
              <w:contextualSpacing w:val="0"/>
            </w:pPr>
          </w:p>
        </w:tc>
      </w:tr>
      <w:tr>
        <w:tc>
          <w:tcPr>
            <w:tcW w:w="5807" w:type="dxa"/>
          </w:tcPr>
          <w:p>
            <w:pPr>
              <w:pStyle w:val="ListeNummernArabisch"/>
              <w:numPr>
                <w:ilvl w:val="0"/>
                <w:numId w:val="0"/>
              </w:numPr>
              <w:spacing w:after="120"/>
              <w:contextualSpacing w:val="0"/>
            </w:pPr>
            <w:r>
              <w:rPr>
                <w:b/>
              </w:rPr>
              <w:t>Berufsauslagen,</w:t>
            </w:r>
            <w:r>
              <w:t xml:space="preserve"> </w:t>
            </w:r>
            <w:r>
              <w:br/>
              <w:t>insb. über den Nahverkehr hinausgehende Fahrkosten zum Ausbildungsort sowie Kosten für Berufskleidung</w:t>
            </w:r>
          </w:p>
        </w:tc>
        <w:tc>
          <w:tcPr>
            <w:tcW w:w="2546" w:type="dxa"/>
          </w:tcPr>
          <w:p>
            <w:pPr>
              <w:pStyle w:val="ListeNummernArabisch"/>
              <w:numPr>
                <w:ilvl w:val="0"/>
                <w:numId w:val="0"/>
              </w:numPr>
              <w:spacing w:after="120"/>
              <w:contextualSpacing w:val="0"/>
            </w:pPr>
          </w:p>
        </w:tc>
      </w:tr>
      <w:tr>
        <w:tc>
          <w:tcPr>
            <w:tcW w:w="5807" w:type="dxa"/>
          </w:tcPr>
          <w:p>
            <w:pPr>
              <w:pStyle w:val="ListeNummernArabisch"/>
              <w:numPr>
                <w:ilvl w:val="0"/>
                <w:numId w:val="0"/>
              </w:numPr>
              <w:spacing w:after="120"/>
              <w:contextualSpacing w:val="0"/>
            </w:pPr>
            <w:r>
              <w:rPr>
                <w:b/>
              </w:rPr>
              <w:t>Transportkosten an Wochenenden,</w:t>
            </w:r>
            <w:r>
              <w:t xml:space="preserve"> sofern Herkunftsfamilie ausserhalb der Nahverkehrszone lebt</w:t>
            </w:r>
          </w:p>
        </w:tc>
        <w:tc>
          <w:tcPr>
            <w:tcW w:w="2546" w:type="dxa"/>
          </w:tcPr>
          <w:p>
            <w:pPr>
              <w:pStyle w:val="ListeNummernArabisch"/>
              <w:numPr>
                <w:ilvl w:val="0"/>
                <w:numId w:val="0"/>
              </w:numPr>
              <w:spacing w:after="120"/>
              <w:contextualSpacing w:val="0"/>
            </w:pPr>
          </w:p>
        </w:tc>
      </w:tr>
    </w:tbl>
    <w:p>
      <w:pPr>
        <w:pStyle w:val="ListeNummernArabisch"/>
        <w:numPr>
          <w:ilvl w:val="0"/>
          <w:numId w:val="0"/>
        </w:numPr>
        <w:spacing w:before="240" w:after="120"/>
        <w:ind w:left="709"/>
        <w:contextualSpacing w:val="0"/>
      </w:pPr>
      <w:r>
        <w:t xml:space="preserve">Die Auslagen für die weiteren Kosten werden den Pflegeeltern mittels Überweisung einer Pauschale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vergütet. Die Pauschale ist für jeden Monat geschuldet, in dem </w:t>
      </w:r>
      <w:r>
        <w:lastRenderedPageBreak/>
        <w:t xml:space="preserve">das Pflegekind von den Pflegeeltern betreut wird, auch wenn das Pflegeverhältnis im betreffenden Monat unterbrochen wird oder endet. Die Pflegeeltern bleiben im betreffenden Monat für die </w:t>
      </w:r>
      <w:r>
        <w:rPr>
          <w:color w:val="auto"/>
        </w:rPr>
        <w:t xml:space="preserve">Begleichung der Auslagen verantwortlich. </w:t>
      </w:r>
    </w:p>
    <w:p>
      <w:pPr>
        <w:pStyle w:val="ListeNummernArabisch"/>
        <w:numPr>
          <w:ilvl w:val="0"/>
          <w:numId w:val="0"/>
        </w:numPr>
        <w:spacing w:after="120"/>
        <w:contextualSpacing w:val="0"/>
        <w:rPr>
          <w:color w:val="FF0000"/>
        </w:rPr>
      </w:pPr>
      <w:r>
        <w:rPr>
          <w:color w:val="FF0000"/>
          <w:szCs w:val="21"/>
        </w:rPr>
        <w:t xml:space="preserve">Ziff. 2.6 (Zahlungsmodalitäten betr. Nebenkosten und weiteren Kosten): </w:t>
      </w:r>
      <w:r>
        <w:rPr>
          <w:color w:val="FF0000"/>
        </w:rPr>
        <w:t xml:space="preserve">Eine der nachstehenden Varianten (A/B) auswählen, andere Variante löschen. </w:t>
      </w:r>
    </w:p>
    <w:p>
      <w:pPr>
        <w:pStyle w:val="ListeNummernArabisch"/>
        <w:numPr>
          <w:ilvl w:val="0"/>
          <w:numId w:val="0"/>
        </w:numPr>
        <w:spacing w:after="120"/>
        <w:contextualSpacing w:val="0"/>
        <w:rPr>
          <w:color w:val="FF0000"/>
        </w:rPr>
      </w:pPr>
      <w:r>
        <w:rPr>
          <w:color w:val="FF0000"/>
        </w:rPr>
        <w:t>Variante A</w:t>
      </w:r>
    </w:p>
    <w:p>
      <w:pPr>
        <w:pStyle w:val="ListeNummernArabisch"/>
        <w:numPr>
          <w:ilvl w:val="0"/>
          <w:numId w:val="0"/>
        </w:numPr>
        <w:spacing w:after="120"/>
        <w:ind w:left="709" w:hanging="709"/>
        <w:contextualSpacing w:val="0"/>
      </w:pPr>
      <w:r>
        <w:t>2.6</w:t>
      </w:r>
      <w:r>
        <w:tab/>
        <w:t xml:space="preserve">Die </w:t>
      </w:r>
      <w:proofErr w:type="spellStart"/>
      <w:r>
        <w:t>Vormundsperson</w:t>
      </w:r>
      <w:proofErr w:type="spellEnd"/>
      <w:r>
        <w:t xml:space="preserve"> sorgt dafür, dass den Pflegeeltern die für den Folgemonat geschuldeten Nebenkosten und weiteren Kosten jeweils bis zum Ende eines jeden Monats auf das in Ziffer 2.3 genannte Konto </w:t>
      </w:r>
      <w:r>
        <w:rPr>
          <w:color w:val="FF0000"/>
        </w:rPr>
        <w:t>[falls in Ziff. 2.3 kein Konto aufgeführt wird, hier Kontonummer etc. angeben]</w:t>
      </w:r>
      <w:r>
        <w:rPr>
          <w:color w:val="auto"/>
        </w:rPr>
        <w:t xml:space="preserve"> </w:t>
      </w:r>
      <w:r>
        <w:t xml:space="preserve">überweisen werden. </w:t>
      </w:r>
    </w:p>
    <w:p>
      <w:pPr>
        <w:pStyle w:val="ListeNummernArabisch"/>
        <w:numPr>
          <w:ilvl w:val="0"/>
          <w:numId w:val="0"/>
        </w:numPr>
        <w:spacing w:after="120"/>
        <w:ind w:left="567" w:hanging="567"/>
        <w:contextualSpacing w:val="0"/>
        <w:rPr>
          <w:color w:val="FF0000"/>
        </w:rPr>
      </w:pPr>
      <w:r>
        <w:rPr>
          <w:color w:val="FF0000"/>
        </w:rPr>
        <w:t>Variante B</w:t>
      </w:r>
    </w:p>
    <w:p>
      <w:pPr>
        <w:pStyle w:val="ListeNummernArabisch"/>
        <w:numPr>
          <w:ilvl w:val="0"/>
          <w:numId w:val="0"/>
        </w:numPr>
        <w:ind w:left="709" w:hanging="709"/>
        <w:contextualSpacing w:val="0"/>
      </w:pPr>
      <w:r>
        <w:t>2.6</w:t>
      </w:r>
      <w:r>
        <w:tab/>
        <w:t>Die Modalitäten betreffend die Begleichung der Nebenkosten und der weiteren Kosten ergeben sich aus der Kostengutsprache der Sozialbehörde.</w:t>
      </w:r>
    </w:p>
    <w:p>
      <w:pPr>
        <w:pStyle w:val="ListeNummernArabisch"/>
        <w:numPr>
          <w:ilvl w:val="0"/>
          <w:numId w:val="0"/>
        </w:numPr>
        <w:ind w:left="709" w:hanging="709"/>
        <w:contextualSpacing w:val="0"/>
      </w:pPr>
      <w:r>
        <w:t>2.7</w:t>
      </w:r>
      <w:r>
        <w:tab/>
        <w:t>Die Pflegeeltern führen für das Pflegekind eine Abrechnung, auf der die Nebenkosten</w:t>
      </w:r>
      <w:r>
        <w:fldChar w:fldCharType="begin">
          <w:ffData>
            <w:name w:val=""/>
            <w:enabled/>
            <w:calcOnExit w:val="0"/>
            <w:textInput>
              <w:default w:val="hat "/>
            </w:textInput>
          </w:ffData>
        </w:fldChar>
      </w:r>
      <w:r>
        <w:instrText xml:space="preserve"> FORMTEXT </w:instrText>
      </w:r>
      <w:r>
        <w:fldChar w:fldCharType="separate"/>
      </w:r>
      <w:r>
        <w:rPr>
          <w:noProof/>
        </w:rPr>
        <w:t>pauschale</w:t>
      </w:r>
      <w:r>
        <w:fldChar w:fldCharType="end"/>
      </w:r>
      <w:r>
        <w:t xml:space="preserve">, der Verpflegungsbeitrag und sämtliche Ausgaben sowie Einnahmen für weitere Kosten aufgeführt sind. Auf Wunsch muss die Verwendung der für diese individuellen Auslagen geleisteten Mittel gegenüber der </w:t>
      </w:r>
      <w:proofErr w:type="spellStart"/>
      <w:r>
        <w:t>Vormundsperson</w:t>
      </w:r>
      <w:proofErr w:type="spellEnd"/>
      <w:r>
        <w:t xml:space="preserve"> nachgewiesen werden.</w:t>
      </w:r>
    </w:p>
    <w:p>
      <w:pPr>
        <w:pStyle w:val="ListeNummernArabisch"/>
        <w:numPr>
          <w:ilvl w:val="0"/>
          <w:numId w:val="0"/>
        </w:numPr>
        <w:spacing w:after="120"/>
        <w:ind w:left="709" w:hanging="709"/>
        <w:contextualSpacing w:val="0"/>
        <w:rPr>
          <w:b/>
        </w:rPr>
      </w:pPr>
      <w:r>
        <w:rPr>
          <w:b/>
        </w:rPr>
        <w:t>3.</w:t>
      </w:r>
      <w:r>
        <w:rPr>
          <w:b/>
        </w:rPr>
        <w:tab/>
        <w:t>Versicherungen</w:t>
      </w:r>
    </w:p>
    <w:p>
      <w:pPr>
        <w:pStyle w:val="ListeNummernArabisch"/>
        <w:numPr>
          <w:ilvl w:val="0"/>
          <w:numId w:val="0"/>
        </w:numPr>
        <w:spacing w:after="120"/>
        <w:ind w:left="709" w:hanging="709"/>
        <w:contextualSpacing w:val="0"/>
      </w:pPr>
      <w:r>
        <w:t>3.1</w:t>
      </w:r>
      <w:r>
        <w:tab/>
        <w:t xml:space="preserve">Das Pflegekind ist </w:t>
      </w:r>
      <w:proofErr w:type="gramStart"/>
      <w:r>
        <w:t>bei folgenden</w:t>
      </w:r>
      <w:proofErr w:type="gramEnd"/>
      <w:r>
        <w:t xml:space="preserve"> Versicherungsgesellschaften gegen Krankheit und Unfall versichert:</w:t>
      </w:r>
    </w:p>
    <w:p>
      <w:pPr>
        <w:pStyle w:val="ListeNummernArabisch"/>
        <w:numPr>
          <w:ilvl w:val="0"/>
          <w:numId w:val="14"/>
        </w:numPr>
        <w:ind w:left="1276"/>
      </w:pPr>
      <w:r>
        <w:t>Krankenkasse</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14"/>
        </w:numPr>
        <w:spacing w:after="120"/>
        <w:ind w:left="1276" w:hanging="357"/>
        <w:contextualSpacing w:val="0"/>
      </w:pPr>
      <w:r>
        <w:t>Unfall</w:t>
      </w:r>
      <w:r>
        <w:tab/>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pPr>
      <w:r>
        <w:t>3.2</w:t>
      </w:r>
      <w:r>
        <w:tab/>
        <w:t>Bei Pflegeverhältnissen, die vom AJB bewilligt, beaufsichtigt oder finanziert werden, sind die Pflegekinder gegen die Folgen der Haftpflicht mittels einer Kollektivversicherung versichert. Die Prämie wird vom Kanton Zürich bezahlt.</w:t>
      </w:r>
    </w:p>
    <w:p>
      <w:pPr>
        <w:pStyle w:val="ListeNummernArabisch"/>
        <w:numPr>
          <w:ilvl w:val="0"/>
          <w:numId w:val="0"/>
        </w:numPr>
        <w:ind w:left="709"/>
        <w:contextualSpacing w:val="0"/>
        <w:rPr>
          <w:szCs w:val="21"/>
        </w:rPr>
      </w:pPr>
      <w:r>
        <w:t xml:space="preserve">Verursacht das Pflegekind einen Schaden haben die Pflegeeltern den Schadensfall unverzüglich mittels des entsprechenden Formulars der Finanzdirektion des Kantons Zürich zu melden (vgl. </w:t>
      </w:r>
      <w:r>
        <w:rPr>
          <w:rStyle w:val="Hyperlink"/>
          <w:szCs w:val="21"/>
        </w:rPr>
        <w:t>https://www.zh.ch/de/politik-staat/kanton/kantonale-verwaltung/versicherungen-schadenfaelle.html</w:t>
      </w:r>
      <w:r>
        <w:rPr>
          <w:szCs w:val="21"/>
        </w:rPr>
        <w:t xml:space="preserve"> und dort scrollen bis zu «Pflegekinder»).</w:t>
      </w:r>
    </w:p>
    <w:p>
      <w:pPr>
        <w:pStyle w:val="ListeNummernArabisch"/>
        <w:numPr>
          <w:ilvl w:val="0"/>
          <w:numId w:val="0"/>
        </w:numPr>
        <w:spacing w:after="120"/>
        <w:ind w:left="709" w:hanging="709"/>
        <w:contextualSpacing w:val="0"/>
        <w:rPr>
          <w:b/>
        </w:rPr>
      </w:pPr>
      <w:r>
        <w:rPr>
          <w:b/>
        </w:rPr>
        <w:t>4.</w:t>
      </w:r>
      <w:r>
        <w:rPr>
          <w:b/>
        </w:rPr>
        <w:tab/>
        <w:t>Ferien der Pflegeeltern</w:t>
      </w:r>
    </w:p>
    <w:p>
      <w:pPr>
        <w:pStyle w:val="ListeNummernArabisch"/>
        <w:numPr>
          <w:ilvl w:val="0"/>
          <w:numId w:val="0"/>
        </w:numPr>
        <w:spacing w:after="120"/>
        <w:ind w:left="709" w:hanging="709"/>
        <w:contextualSpacing w:val="0"/>
        <w:rPr>
          <w:b/>
          <w:color w:val="FF0000"/>
          <w:szCs w:val="21"/>
        </w:rPr>
      </w:pPr>
      <w:r>
        <w:rPr>
          <w:color w:val="FF0000"/>
        </w:rPr>
        <w:t>Eine der nachstehenden Varianten (A/B) auswählen, andere Variante löschen.</w:t>
      </w:r>
    </w:p>
    <w:p>
      <w:pPr>
        <w:pStyle w:val="ListeNummernArabisch"/>
        <w:numPr>
          <w:ilvl w:val="0"/>
          <w:numId w:val="0"/>
        </w:numPr>
        <w:spacing w:after="120"/>
        <w:ind w:left="567" w:hanging="567"/>
        <w:contextualSpacing w:val="0"/>
        <w:rPr>
          <w:color w:val="FF0000"/>
        </w:rPr>
      </w:pPr>
      <w:r>
        <w:rPr>
          <w:color w:val="FF0000"/>
        </w:rPr>
        <w:t>Variante A (Ferien ohne Pflegekind)</w:t>
      </w:r>
    </w:p>
    <w:p>
      <w:pPr>
        <w:pStyle w:val="ListeNummernArabisch"/>
        <w:numPr>
          <w:ilvl w:val="0"/>
          <w:numId w:val="0"/>
        </w:numPr>
        <w:spacing w:after="120"/>
        <w:ind w:left="709" w:hanging="709"/>
        <w:contextualSpacing w:val="0"/>
      </w:pPr>
      <w:r>
        <w:t>4.1</w:t>
      </w:r>
      <w:r>
        <w:tab/>
        <w:t xml:space="preserve">Die Pflegeeltern haben Anspruch auf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Wochen Ferien pro Jahr. Sie verbringen die Ferien ohne das Pflegekind.</w:t>
      </w:r>
    </w:p>
    <w:p>
      <w:pPr>
        <w:pStyle w:val="ListeNummernArabisch"/>
        <w:numPr>
          <w:ilvl w:val="0"/>
          <w:numId w:val="0"/>
        </w:numPr>
        <w:spacing w:after="120"/>
        <w:ind w:left="709" w:hanging="709"/>
        <w:contextualSpacing w:val="0"/>
      </w:pPr>
      <w:r>
        <w:t>4.2</w:t>
      </w:r>
      <w:r>
        <w:tab/>
      </w: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Die </w:t>
      </w:r>
      <w:proofErr w:type="spellStart"/>
      <w:r>
        <w:t>Vormundsperson</w:t>
      </w:r>
      <w:proofErr w:type="spellEnd"/>
      <w:r>
        <w:t xml:space="preserve"> betreut das Pflegekind während der Ferien der Pflegeeltern.</w:t>
      </w:r>
    </w:p>
    <w:p>
      <w:pPr>
        <w:pStyle w:val="ListeNummernArabisch"/>
        <w:numPr>
          <w:ilvl w:val="0"/>
          <w:numId w:val="0"/>
        </w:numPr>
        <w:spacing w:after="120"/>
        <w:ind w:left="709" w:hanging="1"/>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Die </w:t>
      </w:r>
      <w:proofErr w:type="spellStart"/>
      <w:r>
        <w:t>Vormundsperson</w:t>
      </w:r>
      <w:proofErr w:type="spellEnd"/>
      <w:r>
        <w:t xml:space="preserve"> stellt in Rücksprache mit den Pflegeeltern und dem Pflegekind sicher, dass das Pflegekind während der Ferien der Pflegeeltern von </w:t>
      </w:r>
      <w:r>
        <w:rPr>
          <w:szCs w:val="21"/>
        </w:rPr>
        <w:fldChar w:fldCharType="begin">
          <w:ffData>
            <w:name w:val=""/>
            <w:enabled/>
            <w:calcOnExit w:val="0"/>
            <w:textInput>
              <w:default w:val="den Eltern"/>
            </w:textInput>
          </w:ffData>
        </w:fldChar>
      </w:r>
      <w:r>
        <w:rPr>
          <w:szCs w:val="21"/>
        </w:rPr>
        <w:instrText xml:space="preserve"> FORMTEXT </w:instrText>
      </w:r>
      <w:r>
        <w:rPr>
          <w:szCs w:val="21"/>
        </w:rPr>
      </w:r>
      <w:r>
        <w:rPr>
          <w:szCs w:val="21"/>
        </w:rPr>
        <w:fldChar w:fldCharType="separate"/>
      </w:r>
      <w:r>
        <w:rPr>
          <w:noProof/>
          <w:szCs w:val="21"/>
        </w:rPr>
        <w:t>den Eltern</w:t>
      </w:r>
      <w:r>
        <w:rPr>
          <w:szCs w:val="21"/>
        </w:rPr>
        <w:fldChar w:fldCharType="end"/>
      </w:r>
      <w:r>
        <w:rPr>
          <w:szCs w:val="21"/>
        </w:rPr>
        <w:t xml:space="preserve"> </w:t>
      </w:r>
      <w:r>
        <w:rPr>
          <w:szCs w:val="21"/>
        </w:rPr>
        <w:fldChar w:fldCharType="begin">
          <w:ffData>
            <w:name w:val=""/>
            <w:enabled/>
            <w:calcOnExit w:val="0"/>
            <w:textInput>
              <w:default w:val="der Mutter"/>
            </w:textInput>
          </w:ffData>
        </w:fldChar>
      </w:r>
      <w:r>
        <w:rPr>
          <w:szCs w:val="21"/>
        </w:rPr>
        <w:instrText xml:space="preserve"> FORMTEXT </w:instrText>
      </w:r>
      <w:r>
        <w:rPr>
          <w:szCs w:val="21"/>
        </w:rPr>
      </w:r>
      <w:r>
        <w:rPr>
          <w:szCs w:val="21"/>
        </w:rPr>
        <w:fldChar w:fldCharType="separate"/>
      </w:r>
      <w:r>
        <w:rPr>
          <w:noProof/>
          <w:szCs w:val="21"/>
        </w:rPr>
        <w:t>der Mutter</w:t>
      </w:r>
      <w:r>
        <w:rPr>
          <w:szCs w:val="21"/>
        </w:rPr>
        <w:fldChar w:fldCharType="end"/>
      </w:r>
      <w:r>
        <w:rPr>
          <w:szCs w:val="21"/>
        </w:rPr>
        <w:t xml:space="preserve"> </w:t>
      </w:r>
      <w:r>
        <w:rPr>
          <w:szCs w:val="21"/>
        </w:rPr>
        <w:fldChar w:fldCharType="begin">
          <w:ffData>
            <w:name w:val=""/>
            <w:enabled/>
            <w:calcOnExit w:val="0"/>
            <w:textInput>
              <w:default w:val="dem Vater"/>
            </w:textInput>
          </w:ffData>
        </w:fldChar>
      </w:r>
      <w:r>
        <w:rPr>
          <w:szCs w:val="21"/>
        </w:rPr>
        <w:instrText xml:space="preserve"> FORMTEXT </w:instrText>
      </w:r>
      <w:r>
        <w:rPr>
          <w:szCs w:val="21"/>
        </w:rPr>
      </w:r>
      <w:r>
        <w:rPr>
          <w:szCs w:val="21"/>
        </w:rPr>
        <w:fldChar w:fldCharType="separate"/>
      </w:r>
      <w:r>
        <w:rPr>
          <w:noProof/>
          <w:szCs w:val="21"/>
        </w:rPr>
        <w:t>dem Vater</w:t>
      </w:r>
      <w:r>
        <w:rPr>
          <w:szCs w:val="21"/>
        </w:rPr>
        <w:fldChar w:fldCharType="end"/>
      </w:r>
      <w:r>
        <w:t xml:space="preserve"> </w:t>
      </w:r>
      <w:r>
        <w:rPr>
          <w:color w:val="FF0000"/>
        </w:rPr>
        <w:t xml:space="preserve">[löschen, falls beide Elternteile verstorben sind] </w:t>
      </w:r>
      <w:r>
        <w:t>oder von Dritten (z.B. Entlastungspflegefamilie) betreut wird.</w:t>
      </w:r>
    </w:p>
    <w:p>
      <w:pPr>
        <w:pStyle w:val="ListeNummernArabisch"/>
        <w:numPr>
          <w:ilvl w:val="0"/>
          <w:numId w:val="0"/>
        </w:numPr>
        <w:tabs>
          <w:tab w:val="left" w:pos="708"/>
          <w:tab w:val="left" w:pos="1416"/>
          <w:tab w:val="left" w:pos="2124"/>
          <w:tab w:val="left" w:pos="2832"/>
          <w:tab w:val="left" w:pos="3540"/>
          <w:tab w:val="left" w:pos="4248"/>
          <w:tab w:val="left" w:pos="4956"/>
          <w:tab w:val="left" w:pos="5664"/>
          <w:tab w:val="left" w:pos="6633"/>
        </w:tabs>
        <w:spacing w:after="120"/>
        <w:ind w:left="709"/>
        <w:contextualSpacing w:val="0"/>
        <w:rPr>
          <w:color w:val="FF0000"/>
        </w:rPr>
      </w:pPr>
      <w:r>
        <w:rPr>
          <w:color w:val="FF0000"/>
        </w:rPr>
        <w:lastRenderedPageBreak/>
        <w:t>Hinweis: Es können auch beide Kästchen angekreuzt werden, dann bitte jeweils Anzahl Wochen präzisieren.</w:t>
      </w:r>
    </w:p>
    <w:p>
      <w:pPr>
        <w:pStyle w:val="ListeNummernArabisch"/>
        <w:numPr>
          <w:ilvl w:val="0"/>
          <w:numId w:val="0"/>
        </w:numPr>
        <w:spacing w:after="120"/>
        <w:ind w:left="709" w:hanging="709"/>
        <w:contextualSpacing w:val="0"/>
      </w:pPr>
      <w:r>
        <w:t>4.3</w:t>
      </w:r>
      <w:r>
        <w:tab/>
        <w:t xml:space="preserve">Alle Beteiligten sprechen sich frühzeitig über den Zeitpunkt der Ferien ab. Gewünschte Ferientermine geben die Pflegeeltern der </w:t>
      </w:r>
      <w:proofErr w:type="spellStart"/>
      <w:r>
        <w:t>Vormundsperson</w:t>
      </w:r>
      <w:proofErr w:type="spellEnd"/>
      <w:r>
        <w:t xml:space="preserve"> jeweils mindestens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im Voraus bekannt. </w:t>
      </w:r>
    </w:p>
    <w:p>
      <w:pPr>
        <w:pStyle w:val="ListeNummernArabisch"/>
        <w:numPr>
          <w:ilvl w:val="0"/>
          <w:numId w:val="0"/>
        </w:numPr>
        <w:spacing w:after="120"/>
        <w:ind w:left="709" w:hanging="709"/>
        <w:contextualSpacing w:val="0"/>
      </w:pPr>
      <w:r>
        <w:t>4.4</w:t>
      </w:r>
      <w:r>
        <w:tab/>
        <w:t xml:space="preserve">Die Abgeltung der Pflegeeltern während der Abwesenheiten des Pflegekindes richtet sich nach den Bestimmungen in der Leistungsvereinbarung zwischen den Pflegeeltern und dem AJB bzw. nach den Bestimmungen im Arbeitsvertrag zwischen den Pflegeeltern und der Anbieterin oder dem Anbieter von Dienstleistungen in der Familienpflege (DAF). Die allfällige Abgeltung der </w:t>
      </w:r>
      <w:proofErr w:type="spellStart"/>
      <w:r>
        <w:t>Vormundsperson</w:t>
      </w:r>
      <w:proofErr w:type="spellEnd"/>
      <w:r>
        <w:t xml:space="preserve"> oder von Dritten wird über eine separate Kostenübernahmegarantie und Leistungsvereinbarung geregelt. </w:t>
      </w:r>
    </w:p>
    <w:p>
      <w:pPr>
        <w:pStyle w:val="ListeNummernArabisch"/>
        <w:numPr>
          <w:ilvl w:val="0"/>
          <w:numId w:val="0"/>
        </w:numPr>
        <w:spacing w:after="120"/>
        <w:ind w:left="709" w:hanging="709"/>
        <w:contextualSpacing w:val="0"/>
        <w:rPr>
          <w:color w:val="FF0000"/>
        </w:rPr>
      </w:pPr>
      <w:r>
        <w:rPr>
          <w:color w:val="FF0000"/>
        </w:rPr>
        <w:t>Variante B (Ferien mit Pflegekind)</w:t>
      </w:r>
    </w:p>
    <w:p>
      <w:pPr>
        <w:pStyle w:val="ListeNummernArabisch"/>
        <w:numPr>
          <w:ilvl w:val="0"/>
          <w:numId w:val="0"/>
        </w:numPr>
        <w:ind w:left="709"/>
        <w:contextualSpacing w:val="0"/>
      </w:pPr>
      <w:r>
        <w:t>Die Pflegeeltern betreuen das Pflegekind auch während ihrer Ferien.</w:t>
      </w:r>
    </w:p>
    <w:p>
      <w:pPr>
        <w:pStyle w:val="ListeNummernArabisch"/>
        <w:numPr>
          <w:ilvl w:val="0"/>
          <w:numId w:val="0"/>
        </w:numPr>
        <w:spacing w:after="120"/>
        <w:ind w:left="709" w:hanging="709"/>
        <w:contextualSpacing w:val="0"/>
        <w:rPr>
          <w:b/>
        </w:rPr>
      </w:pPr>
      <w:r>
        <w:rPr>
          <w:b/>
        </w:rPr>
        <w:t>5.</w:t>
      </w:r>
      <w:r>
        <w:rPr>
          <w:b/>
        </w:rPr>
        <w:tab/>
        <w:t>Persönlicher Verkehr / Besuchsregelung</w:t>
      </w:r>
    </w:p>
    <w:p>
      <w:pPr>
        <w:pStyle w:val="ListeNummernArabisch"/>
        <w:numPr>
          <w:ilvl w:val="0"/>
          <w:numId w:val="0"/>
        </w:numPr>
        <w:spacing w:after="120"/>
        <w:ind w:left="709" w:hanging="709"/>
        <w:contextualSpacing w:val="0"/>
        <w:rPr>
          <w:color w:val="FF0000"/>
        </w:rPr>
      </w:pPr>
      <w:r>
        <w:rPr>
          <w:color w:val="FF0000"/>
        </w:rPr>
        <w:t xml:space="preserve">Pers. Verkehr in der Überschrift und Ziff. 5.1 löschen, wenn beide Elternteile verstorben sind. </w:t>
      </w:r>
    </w:p>
    <w:p>
      <w:pPr>
        <w:pStyle w:val="ListeNummernArabisch"/>
        <w:numPr>
          <w:ilvl w:val="0"/>
          <w:numId w:val="0"/>
        </w:numPr>
        <w:spacing w:after="120"/>
        <w:ind w:left="709" w:hanging="709"/>
        <w:contextualSpacing w:val="0"/>
      </w:pPr>
      <w:r>
        <w:t>5.1</w:t>
      </w:r>
      <w:r>
        <w:tab/>
      </w:r>
      <w:bookmarkStart w:id="0" w:name="_Hlk158213125"/>
      <w:r>
        <w:t xml:space="preserve">Die Pflegeeltern ermöglichen den persönlichen Verkehr zwischen dem Pflegekind und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w:t>
      </w:r>
      <w:bookmarkEnd w:id="0"/>
      <w:r>
        <w:t>gemäss</w:t>
      </w:r>
    </w:p>
    <w:p>
      <w:pPr>
        <w:pStyle w:val="ListeNummernArabisch"/>
        <w:numPr>
          <w:ilvl w:val="0"/>
          <w:numId w:val="0"/>
        </w:numPr>
        <w:tabs>
          <w:tab w:val="left" w:pos="708"/>
          <w:tab w:val="left" w:pos="1416"/>
          <w:tab w:val="left" w:pos="2124"/>
          <w:tab w:val="left" w:pos="2832"/>
          <w:tab w:val="left" w:pos="3540"/>
          <w:tab w:val="left" w:pos="4248"/>
          <w:tab w:val="left" w:pos="4956"/>
          <w:tab w:val="left" w:pos="5664"/>
          <w:tab w:val="left" w:pos="6633"/>
        </w:tabs>
        <w:spacing w:after="120"/>
        <w:contextualSpacing w:val="0"/>
      </w:pPr>
      <w:r>
        <w:tab/>
      </w: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der Regelung im Entscheid </w:t>
      </w:r>
      <w:r>
        <w:fldChar w:fldCharType="begin">
          <w:ffData>
            <w:name w:val=""/>
            <w:enabled/>
            <w:calcOnExit w:val="0"/>
            <w:textInput>
              <w:default w:val="z.B. des Gerichts / der KESB"/>
            </w:textInput>
          </w:ffData>
        </w:fldChar>
      </w:r>
      <w:r>
        <w:instrText xml:space="preserve"> FORMTEXT </w:instrText>
      </w:r>
      <w:r>
        <w:fldChar w:fldCharType="separate"/>
      </w:r>
      <w:r>
        <w:rPr>
          <w:noProof/>
        </w:rPr>
        <w:t>z.B. des Gerichts / der KESB</w:t>
      </w:r>
      <w:r>
        <w:fldChar w:fldCharType="end"/>
      </w:r>
      <w:r>
        <w:t xml:space="preserve"> vom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pPr>
        <w:pStyle w:val="ListeNummernArabisch"/>
        <w:numPr>
          <w:ilvl w:val="0"/>
          <w:numId w:val="0"/>
        </w:numPr>
        <w:tabs>
          <w:tab w:val="left" w:pos="708"/>
          <w:tab w:val="left" w:pos="1416"/>
          <w:tab w:val="left" w:pos="2124"/>
          <w:tab w:val="left" w:pos="2832"/>
          <w:tab w:val="left" w:pos="3540"/>
          <w:tab w:val="left" w:pos="4248"/>
          <w:tab w:val="left" w:pos="4956"/>
          <w:tab w:val="left" w:pos="5664"/>
          <w:tab w:val="left" w:pos="6633"/>
        </w:tabs>
        <w:spacing w:after="120"/>
        <w:ind w:left="708"/>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der zwischen den Vertragsparteien,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und sofern alters- und entwicklungsadäquat dem Pflegekind separat vereinbarten Besuchsregelung (Beilage dieses Vertrags). </w:t>
      </w:r>
    </w:p>
    <w:p>
      <w:pPr>
        <w:pStyle w:val="ListeNummernArabisch"/>
        <w:numPr>
          <w:ilvl w:val="0"/>
          <w:numId w:val="0"/>
        </w:numPr>
        <w:spacing w:after="120"/>
        <w:ind w:left="709" w:hanging="709"/>
        <w:contextualSpacing w:val="0"/>
      </w:pPr>
      <w:r>
        <w:t>5.2</w:t>
      </w:r>
      <w:r>
        <w:tab/>
        <w:t xml:space="preserve">Die Besuchsregelung zwischen der </w:t>
      </w:r>
      <w:proofErr w:type="spellStart"/>
      <w:r>
        <w:t>Vormundsperson</w:t>
      </w:r>
      <w:proofErr w:type="spellEnd"/>
      <w:r>
        <w:t xml:space="preserve"> und dem Pflegekind wird zwischen den Vertragsparteien und sofern alters- und entwicklungsadäquat dem Pflegekind schriftlich vereinbart (Beilage dieses Vertrags). </w:t>
      </w:r>
    </w:p>
    <w:p>
      <w:pPr>
        <w:pStyle w:val="ListeNummernArabisch"/>
        <w:numPr>
          <w:ilvl w:val="0"/>
          <w:numId w:val="0"/>
        </w:numPr>
        <w:ind w:left="709" w:hanging="709"/>
        <w:contextualSpacing w:val="0"/>
      </w:pPr>
      <w:r>
        <w:t>5.3</w:t>
      </w:r>
      <w:r>
        <w:tab/>
        <w:t>Die Abgeltung der Pflegeeltern während der Abwesenheiten des Pflegekindes richtet sich nach den Bestimmungen in der Leistungsvereinbarung zwischen den Pflegeeltern und dem AJB bzw. nach den Bestimmungen im Arbeitsvertrag zwischen den Pflegeeltern und der DAF.</w:t>
      </w:r>
    </w:p>
    <w:p>
      <w:pPr>
        <w:pStyle w:val="ListeNummernArabisch"/>
        <w:numPr>
          <w:ilvl w:val="0"/>
          <w:numId w:val="0"/>
        </w:numPr>
        <w:spacing w:after="120"/>
        <w:ind w:left="709" w:hanging="709"/>
        <w:contextualSpacing w:val="0"/>
        <w:rPr>
          <w:b/>
        </w:rPr>
      </w:pPr>
      <w:r>
        <w:rPr>
          <w:b/>
        </w:rPr>
        <w:t>6.</w:t>
      </w:r>
      <w:r>
        <w:rPr>
          <w:b/>
        </w:rPr>
        <w:tab/>
        <w:t>Regelungen bei Krankheit oder Unfall des Pflegekindes</w:t>
      </w:r>
    </w:p>
    <w:p>
      <w:pPr>
        <w:pStyle w:val="ListeNummernArabisch"/>
        <w:numPr>
          <w:ilvl w:val="0"/>
          <w:numId w:val="0"/>
        </w:numPr>
        <w:spacing w:after="120"/>
        <w:ind w:left="709" w:hanging="709"/>
        <w:contextualSpacing w:val="0"/>
      </w:pPr>
      <w:r>
        <w:t>6.1</w:t>
      </w:r>
      <w:r>
        <w:tab/>
        <w:t xml:space="preserve">Erkrankt das Pflegekind während der Pflegezeit oder erleidet es in diesem Zeitraum einen Unfall, sind die Pflegeeltern verpflichtet, die notwendigen Massnahmen zu ergreifen. Sie orientieren die </w:t>
      </w:r>
      <w:proofErr w:type="spellStart"/>
      <w:r>
        <w:t>Vormundsperson</w:t>
      </w:r>
      <w:proofErr w:type="spellEnd"/>
      <w:r>
        <w:t xml:space="preserve"> umgehend darüber.</w:t>
      </w:r>
    </w:p>
    <w:p>
      <w:pPr>
        <w:pStyle w:val="ListeNummernArabisch"/>
        <w:numPr>
          <w:ilvl w:val="0"/>
          <w:numId w:val="0"/>
        </w:numPr>
        <w:spacing w:after="120"/>
        <w:ind w:left="709" w:hanging="709"/>
        <w:contextualSpacing w:val="0"/>
      </w:pPr>
      <w:r>
        <w:t>6.2</w:t>
      </w:r>
      <w:r>
        <w:tab/>
        <w:t>Zusätzlich sind die folgenden Personen zu informieren:</w:t>
      </w:r>
    </w:p>
    <w:p>
      <w:pPr>
        <w:pStyle w:val="ListeNummernArabisch"/>
        <w:numPr>
          <w:ilvl w:val="0"/>
          <w:numId w:val="15"/>
        </w:num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15"/>
        </w:numPr>
        <w:spacing w:after="120"/>
        <w:ind w:hanging="357"/>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ind w:left="709" w:hanging="709"/>
        <w:contextualSpacing w:val="0"/>
      </w:pPr>
      <w:r>
        <w:t>6.3</w:t>
      </w:r>
      <w:r>
        <w:tab/>
        <w:t>Die Pflegeeltern haben das Recht, über den Gesundheitszustand des Pflegekindes informiert zu werden. Dieses Recht beinhaltet einen Informationsanspruch direkt gegenüber den zuständigen Fachpersonen (z.B. Ärztinnen bzw. Ärzte, Psychologinnen bzw. Psychologen). Vorbehalten bleiben höchstpersönliche Rechte des urteilsfähigen Pflegekindes.</w:t>
      </w:r>
    </w:p>
    <w:p>
      <w:pPr>
        <w:pStyle w:val="ListeNummernArabisch"/>
        <w:numPr>
          <w:ilvl w:val="0"/>
          <w:numId w:val="0"/>
        </w:numPr>
        <w:spacing w:after="120"/>
        <w:ind w:left="709" w:hanging="709"/>
        <w:contextualSpacing w:val="0"/>
        <w:rPr>
          <w:b/>
        </w:rPr>
      </w:pPr>
      <w:r>
        <w:rPr>
          <w:b/>
        </w:rPr>
        <w:t>7.</w:t>
      </w:r>
      <w:r>
        <w:rPr>
          <w:b/>
        </w:rPr>
        <w:tab/>
        <w:t>Religiöse Erziehung</w:t>
      </w:r>
    </w:p>
    <w:p>
      <w:pPr>
        <w:pStyle w:val="ListeNummernArabisch"/>
        <w:numPr>
          <w:ilvl w:val="0"/>
          <w:numId w:val="0"/>
        </w:numPr>
        <w:spacing w:after="120"/>
        <w:ind w:left="709"/>
        <w:contextualSpacing w:val="0"/>
      </w:pPr>
      <w:r>
        <w:lastRenderedPageBreak/>
        <w:t>In Bezug auf die religiöse Erziehung des Pflegekindes wird vereinbart:</w:t>
      </w:r>
    </w:p>
    <w:p>
      <w:pPr>
        <w:pStyle w:val="ListeNummernArabisch"/>
        <w:numPr>
          <w:ilvl w:val="0"/>
          <w:numId w:val="0"/>
        </w:numPr>
        <w:spacing w:line="240" w:lineRule="auto"/>
        <w:ind w:left="709"/>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rPr>
          <w:b/>
        </w:rPr>
      </w:pPr>
      <w:r>
        <w:rPr>
          <w:b/>
        </w:rPr>
        <w:t>8.</w:t>
      </w:r>
      <w:r>
        <w:rPr>
          <w:b/>
        </w:rPr>
        <w:tab/>
      </w:r>
      <w:proofErr w:type="spellStart"/>
      <w:r>
        <w:rPr>
          <w:b/>
        </w:rPr>
        <w:t>Dossierführung</w:t>
      </w:r>
      <w:proofErr w:type="spellEnd"/>
    </w:p>
    <w:p>
      <w:pPr>
        <w:pStyle w:val="ListeNummernArabisch"/>
        <w:numPr>
          <w:ilvl w:val="0"/>
          <w:numId w:val="0"/>
        </w:numPr>
        <w:spacing w:after="120"/>
        <w:ind w:left="709" w:hanging="709"/>
        <w:contextualSpacing w:val="0"/>
      </w:pPr>
      <w:r>
        <w:t>8.1</w:t>
      </w:r>
      <w:r>
        <w:tab/>
        <w:t xml:space="preserve">Die Pflegeeltern führen über das Pflegeverhältnis ein Dossier (eigenes Dossier für jedes Pflegekind). Die </w:t>
      </w:r>
      <w:proofErr w:type="spellStart"/>
      <w:r>
        <w:t>Vormundsperson</w:t>
      </w:r>
      <w:proofErr w:type="spellEnd"/>
      <w:r>
        <w:t xml:space="preserve"> hat jederzeit Anspruch auf Einsicht in das Dossier, soweit der Einsicht keine überwiegenden öffentlichen oder privaten Interessen entgegenstehen.</w:t>
      </w:r>
    </w:p>
    <w:p>
      <w:pPr>
        <w:pStyle w:val="ListeNummernArabisch"/>
        <w:numPr>
          <w:ilvl w:val="0"/>
          <w:numId w:val="0"/>
        </w:numPr>
        <w:ind w:left="709" w:hanging="709"/>
        <w:contextualSpacing w:val="0"/>
      </w:pPr>
      <w:r>
        <w:t>8.2</w:t>
      </w:r>
      <w:r>
        <w:tab/>
        <w:t xml:space="preserve">Die </w:t>
      </w:r>
      <w:proofErr w:type="spellStart"/>
      <w:r>
        <w:t>Vormundsperson</w:t>
      </w:r>
      <w:proofErr w:type="spellEnd"/>
      <w:r>
        <w:t xml:space="preserve"> meldet den Pflegeeltern ihr Interesse betreffend eine Einsichtnahme in das Dossier frühzeitig an. Die Einsichtnahme findet bei den Pflegeeltern statt. Wenn die </w:t>
      </w:r>
      <w:proofErr w:type="spellStart"/>
      <w:r>
        <w:t>Vormundsperson</w:t>
      </w:r>
      <w:proofErr w:type="spellEnd"/>
      <w:r>
        <w:t xml:space="preserve"> dies wünscht, erstellen die Pflegeeltern eine Kopie des Dossiers und stellen der </w:t>
      </w:r>
      <w:proofErr w:type="spellStart"/>
      <w:r>
        <w:t>Vormundsperson</w:t>
      </w:r>
      <w:proofErr w:type="spellEnd"/>
      <w:r>
        <w:t xml:space="preserve"> die dadurch entstandenen Kosten in Rechnung.</w:t>
      </w:r>
    </w:p>
    <w:p>
      <w:pPr>
        <w:pStyle w:val="ListeNummernArabisch"/>
        <w:numPr>
          <w:ilvl w:val="0"/>
          <w:numId w:val="0"/>
        </w:numPr>
        <w:spacing w:after="120"/>
        <w:ind w:left="709" w:hanging="709"/>
        <w:contextualSpacing w:val="0"/>
        <w:rPr>
          <w:b/>
        </w:rPr>
      </w:pPr>
      <w:r>
        <w:rPr>
          <w:b/>
        </w:rPr>
        <w:t>9.</w:t>
      </w:r>
      <w:r>
        <w:rPr>
          <w:b/>
        </w:rPr>
        <w:tab/>
        <w:t>Besondere Vereinbarungen</w:t>
      </w:r>
    </w:p>
    <w:p>
      <w:pPr>
        <w:pStyle w:val="ListeNummernArabisch"/>
        <w:numPr>
          <w:ilvl w:val="0"/>
          <w:numId w:val="0"/>
        </w:numPr>
        <w:spacing w:after="120"/>
        <w:ind w:left="709"/>
        <w:contextualSpacing w:val="0"/>
      </w:pPr>
      <w:r>
        <w:t>Besondere Vereinbarungen (z.B. Arztbesuche, Therapien, Besprechungen mit Fachpersonen, spezielle Bedürfnisse des Pflegekindes, Ernährung, Allergien):</w:t>
      </w:r>
    </w:p>
    <w:p>
      <w:pPr>
        <w:pStyle w:val="ListeNummernArabisch"/>
        <w:numPr>
          <w:ilvl w:val="0"/>
          <w:numId w:val="0"/>
        </w:numPr>
        <w:ind w:left="709"/>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rPr>
          <w:b/>
        </w:rPr>
      </w:pPr>
      <w:r>
        <w:rPr>
          <w:b/>
        </w:rPr>
        <w:t>10.</w:t>
      </w:r>
      <w:r>
        <w:rPr>
          <w:b/>
        </w:rPr>
        <w:tab/>
        <w:t>Eintrittsmodalitäten</w:t>
      </w:r>
    </w:p>
    <w:p>
      <w:pPr>
        <w:pStyle w:val="ListeNummernArabisch"/>
        <w:numPr>
          <w:ilvl w:val="0"/>
          <w:numId w:val="0"/>
        </w:numPr>
        <w:spacing w:after="120"/>
        <w:ind w:left="709" w:hanging="709"/>
        <w:contextualSpacing w:val="0"/>
      </w:pPr>
      <w:r>
        <w:t>10.1</w:t>
      </w:r>
      <w:r>
        <w:tab/>
        <w:t xml:space="preserve">Beim Eintritt des Pflegekindes in die Pflegefamilie händigt die </w:t>
      </w:r>
      <w:proofErr w:type="spellStart"/>
      <w:r>
        <w:t>Vormundsperson</w:t>
      </w:r>
      <w:proofErr w:type="spellEnd"/>
      <w:r>
        <w:t xml:space="preserve"> den Pflegeeltern folgende Dokumente aus:</w:t>
      </w:r>
    </w:p>
    <w:p>
      <w:pPr>
        <w:pStyle w:val="ListeNummernArabisch"/>
        <w:numPr>
          <w:ilvl w:val="0"/>
          <w:numId w:val="0"/>
        </w:numPr>
        <w:ind w:left="709"/>
      </w:pPr>
      <w:sdt>
        <w:sdtPr>
          <w:rPr>
            <w:rFonts w:ascii="Arial Black" w:hAnsi="Arial Black"/>
          </w:rPr>
          <w:id w:val="9909149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Heimat- bzw. Ausländerausweis </w:t>
      </w:r>
    </w:p>
    <w:p>
      <w:pPr>
        <w:pStyle w:val="ListeNummernArabisch"/>
        <w:numPr>
          <w:ilvl w:val="0"/>
          <w:numId w:val="0"/>
        </w:numPr>
        <w:ind w:left="709"/>
      </w:pPr>
      <w:sdt>
        <w:sdtPr>
          <w:rPr>
            <w:rFonts w:ascii="Arial Black" w:hAnsi="Arial Black"/>
          </w:rPr>
          <w:id w:val="1891142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Impfausweis </w:t>
      </w:r>
    </w:p>
    <w:p>
      <w:pPr>
        <w:pStyle w:val="ListeNummernArabisch"/>
        <w:numPr>
          <w:ilvl w:val="0"/>
          <w:numId w:val="0"/>
        </w:numPr>
        <w:ind w:left="709"/>
      </w:pPr>
      <w:sdt>
        <w:sdtPr>
          <w:rPr>
            <w:rFonts w:ascii="Arial Black" w:hAnsi="Arial Black"/>
          </w:rPr>
          <w:id w:val="237765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Krankenkassenkarte </w:t>
      </w:r>
    </w:p>
    <w:p>
      <w:pPr>
        <w:pStyle w:val="ListeNummernArabisch"/>
        <w:numPr>
          <w:ilvl w:val="0"/>
          <w:numId w:val="0"/>
        </w:numPr>
        <w:spacing w:after="120"/>
        <w:ind w:left="709"/>
        <w:contextualSpacing w:val="0"/>
      </w:pPr>
      <w:sdt>
        <w:sdtPr>
          <w:rPr>
            <w:rFonts w:ascii="Arial Black" w:hAnsi="Arial Black"/>
          </w:rPr>
          <w:id w:val="-942452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FF0000"/>
        </w:rPr>
        <w:t>[weitere wie z.B. Identitätskarte]</w:t>
      </w:r>
    </w:p>
    <w:p>
      <w:pPr>
        <w:pStyle w:val="ListeNummernArabisch"/>
        <w:numPr>
          <w:ilvl w:val="0"/>
          <w:numId w:val="0"/>
        </w:numPr>
        <w:ind w:left="709" w:hanging="709"/>
        <w:contextualSpacing w:val="0"/>
      </w:pPr>
      <w:r>
        <w:t>10.2</w:t>
      </w:r>
      <w:r>
        <w:tab/>
        <w:t>Die Pflegeeltern melden das Pflegekind ordnungsgemäss bei der zuständigen Einwohnerbehörde an.</w:t>
      </w:r>
    </w:p>
    <w:p>
      <w:pPr>
        <w:pStyle w:val="ListeNummernArabisch"/>
        <w:numPr>
          <w:ilvl w:val="0"/>
          <w:numId w:val="0"/>
        </w:numPr>
        <w:spacing w:after="120"/>
        <w:ind w:left="709" w:hanging="709"/>
        <w:contextualSpacing w:val="0"/>
        <w:rPr>
          <w:b/>
        </w:rPr>
      </w:pPr>
      <w:r>
        <w:rPr>
          <w:b/>
        </w:rPr>
        <w:t>11.</w:t>
      </w:r>
      <w:r>
        <w:rPr>
          <w:b/>
        </w:rPr>
        <w:tab/>
        <w:t>Kooperation und Information</w:t>
      </w:r>
    </w:p>
    <w:p>
      <w:pPr>
        <w:pStyle w:val="ListeNummernArabisch"/>
        <w:numPr>
          <w:ilvl w:val="0"/>
          <w:numId w:val="0"/>
        </w:numPr>
        <w:spacing w:after="120"/>
        <w:ind w:left="709" w:hanging="709"/>
        <w:contextualSpacing w:val="0"/>
      </w:pPr>
      <w:r>
        <w:t>11.1</w:t>
      </w:r>
      <w:r>
        <w:tab/>
        <w:t xml:space="preserve">Im Hinblick auf die bestmögliche Betreuung und Förderung des Pflegekindes kooperieren die Pflegeeltern mit allen relevanten Bezugspersonen und sprechen sich in wesentlichen Fragen mit der </w:t>
      </w:r>
      <w:proofErr w:type="spellStart"/>
      <w:r>
        <w:t>Vormundsperson</w:t>
      </w:r>
      <w:proofErr w:type="spellEnd"/>
      <w:r>
        <w:t xml:space="preserve"> ab. Die </w:t>
      </w:r>
      <w:proofErr w:type="spellStart"/>
      <w:r>
        <w:t>Vormundsperson</w:t>
      </w:r>
      <w:proofErr w:type="spellEnd"/>
      <w:r>
        <w:t xml:space="preserve"> ist darauf bedacht, ein gutes Einvernehmen zwischen den Pflegeeltern und dem Pflegekind zu ermöglichen. Sie bezieht die Pflegeeltern in wichtige Entscheide, die das Pflegekind betreffen, ein.</w:t>
      </w:r>
    </w:p>
    <w:p>
      <w:pPr>
        <w:pStyle w:val="ListeNummernArabisch"/>
        <w:numPr>
          <w:ilvl w:val="0"/>
          <w:numId w:val="0"/>
        </w:numPr>
        <w:spacing w:after="120"/>
        <w:ind w:left="709" w:hanging="709"/>
        <w:contextualSpacing w:val="0"/>
      </w:pPr>
      <w:r>
        <w:t>11.2</w:t>
      </w:r>
      <w:r>
        <w:tab/>
        <w:t>Das Pflegekind wird alters- und entwicklungsadäquat in alle Entscheide, die es betreffen, einbezogen.</w:t>
      </w:r>
    </w:p>
    <w:p>
      <w:pPr>
        <w:pStyle w:val="ListeNummernArabisch"/>
        <w:numPr>
          <w:ilvl w:val="0"/>
          <w:numId w:val="0"/>
        </w:numPr>
        <w:spacing w:after="120"/>
        <w:ind w:left="709" w:hanging="709"/>
        <w:contextualSpacing w:val="0"/>
      </w:pPr>
      <w:r>
        <w:t>11.3</w:t>
      </w:r>
      <w:r>
        <w:tab/>
        <w:t>Die Vertragsparteien und sofern alters- und entwicklungsadäquat das Pflegekind treffen sich regelmässig für Standortgespräche.</w:t>
      </w:r>
    </w:p>
    <w:p>
      <w:pPr>
        <w:pStyle w:val="ListeNummernArabisch"/>
        <w:numPr>
          <w:ilvl w:val="0"/>
          <w:numId w:val="0"/>
        </w:numPr>
        <w:ind w:left="709" w:hanging="709"/>
        <w:contextualSpacing w:val="0"/>
      </w:pPr>
      <w:r>
        <w:t>11.4</w:t>
      </w:r>
      <w:r>
        <w:tab/>
        <w:t xml:space="preserve">Über besondere Vorkommnisse sowie bei Notfällen informieren sich die </w:t>
      </w:r>
      <w:proofErr w:type="spellStart"/>
      <w:r>
        <w:t>Vormundsperson</w:t>
      </w:r>
      <w:proofErr w:type="spellEnd"/>
      <w:r>
        <w:t xml:space="preserve"> und die Pflegeeltern gegenseitig unverzüglich. Sie informieren auch die Aufsichtsperson im AJB.</w:t>
      </w:r>
    </w:p>
    <w:p>
      <w:pPr>
        <w:pStyle w:val="ListeNummernArabisch"/>
        <w:numPr>
          <w:ilvl w:val="0"/>
          <w:numId w:val="0"/>
        </w:numPr>
        <w:spacing w:after="120"/>
        <w:ind w:left="709" w:hanging="709"/>
        <w:contextualSpacing w:val="0"/>
        <w:rPr>
          <w:b/>
        </w:rPr>
      </w:pPr>
      <w:r>
        <w:rPr>
          <w:b/>
        </w:rPr>
        <w:t>12.</w:t>
      </w:r>
      <w:r>
        <w:rPr>
          <w:b/>
        </w:rPr>
        <w:tab/>
        <w:t>Auflösung des Pflegevertrages</w:t>
      </w:r>
    </w:p>
    <w:p>
      <w:pPr>
        <w:pStyle w:val="ListeNummernArabisch"/>
        <w:numPr>
          <w:ilvl w:val="0"/>
          <w:numId w:val="0"/>
        </w:numPr>
        <w:spacing w:after="120"/>
        <w:ind w:left="709" w:hanging="709"/>
        <w:contextualSpacing w:val="0"/>
      </w:pPr>
      <w:r>
        <w:t>12.1</w:t>
      </w:r>
      <w:r>
        <w:tab/>
        <w:t>Das Pflegeverhältnis ist grundsätzlich jederzeit kündbar.</w:t>
      </w:r>
    </w:p>
    <w:p>
      <w:pPr>
        <w:pStyle w:val="ListeNummernArabisch"/>
        <w:numPr>
          <w:ilvl w:val="0"/>
          <w:numId w:val="0"/>
        </w:numPr>
        <w:spacing w:after="120"/>
        <w:ind w:left="709" w:hanging="709"/>
        <w:contextualSpacing w:val="0"/>
      </w:pPr>
      <w:r>
        <w:lastRenderedPageBreak/>
        <w:t>12.2</w:t>
      </w:r>
      <w:r>
        <w:tab/>
        <w:t>Die Auflösung des Pflegeverhältnisses ist der anderen Partei frühzeitig mitzuteilen. Ausserdem hat die auflösende Partei die Beendigung des Pflegeverhältnisses umgehend dem AJB bekanntzugeben.</w:t>
      </w:r>
    </w:p>
    <w:p>
      <w:pPr>
        <w:pStyle w:val="ListeNummernArabisch"/>
        <w:numPr>
          <w:ilvl w:val="0"/>
          <w:numId w:val="0"/>
        </w:numPr>
        <w:spacing w:after="480"/>
        <w:ind w:left="709" w:hanging="709"/>
        <w:contextualSpacing w:val="0"/>
      </w:pPr>
      <w:r>
        <w:t>12.3</w:t>
      </w:r>
      <w:r>
        <w:tab/>
      </w:r>
      <w:r>
        <w:t xml:space="preserve">Die Abgeltung der Pflegeeltern nach der </w:t>
      </w:r>
      <w:r>
        <w:t>Auflösung</w:t>
      </w:r>
      <w:r>
        <w:t xml:space="preserve"> des Pflegeverhältnisses richtet sich nach den Bestimmungen in der Leistungsvereinbarung zwischen den Pflegeeltern und dem AJB bzw. nach den Bestimmungen im Arbeitsvertrag z</w:t>
      </w:r>
      <w:bookmarkStart w:id="1" w:name="_GoBack"/>
      <w:bookmarkEnd w:id="1"/>
      <w:r>
        <w:t>wischen den Pflegeeltern und der DAF.</w:t>
      </w:r>
    </w:p>
    <w:p>
      <w:pPr>
        <w:pStyle w:val="ListeNummernArabisch"/>
        <w:numPr>
          <w:ilvl w:val="0"/>
          <w:numId w:val="0"/>
        </w:numPr>
        <w:ind w:left="709" w:hanging="709"/>
        <w:contextualSpacing w:val="0"/>
      </w:pPr>
      <w:r>
        <w:t xml:space="preserve">Ihr Einverständnis mit den obigen Bestimmungen </w:t>
      </w:r>
      <w:proofErr w:type="gramStart"/>
      <w:r>
        <w:t>bestätigen</w:t>
      </w:r>
      <w:proofErr w:type="gramEnd"/>
      <w:r>
        <w:t>:</w:t>
      </w: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t xml:space="preserve">Die </w:t>
            </w:r>
            <w:proofErr w:type="spellStart"/>
            <w:r>
              <w:rPr>
                <w:b/>
              </w:rPr>
              <w:t>Vormundsperson</w:t>
            </w:r>
            <w:proofErr w:type="spellEnd"/>
          </w:p>
        </w:tc>
        <w:tc>
          <w:tcPr>
            <w:tcW w:w="4111" w:type="dxa"/>
          </w:tcPr>
          <w:p>
            <w:pPr>
              <w:pStyle w:val="ListeNummernArabisch"/>
              <w:numPr>
                <w:ilvl w:val="0"/>
                <w:numId w:val="0"/>
              </w:numPr>
              <w:contextualSpacing w:val="0"/>
              <w:rPr>
                <w:b/>
              </w:rPr>
            </w:pPr>
          </w:p>
        </w:tc>
      </w:tr>
      <w:tr>
        <w:trPr>
          <w:trHeight w:val="318"/>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193"/>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Vorname"/>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Vorname</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Nachname"/>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xml:space="preserve"> Nachname</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tcPr>
          <w:p>
            <w:pPr>
              <w:pStyle w:val="ListeNummernArabisch"/>
              <w:numPr>
                <w:ilvl w:val="0"/>
                <w:numId w:val="0"/>
              </w:numPr>
              <w:spacing w:after="120"/>
              <w:contextualSpacing w:val="0"/>
            </w:pPr>
          </w:p>
        </w:tc>
      </w:tr>
    </w:tbl>
    <w:p>
      <w:pPr>
        <w:pStyle w:val="ListeNummernArabisch"/>
        <w:numPr>
          <w:ilvl w:val="0"/>
          <w:numId w:val="0"/>
        </w:numPr>
        <w:ind w:left="709" w:hanging="709"/>
        <w:contextualSpacing w:val="0"/>
      </w:pP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t>Die Pflegeeltern</w:t>
            </w:r>
          </w:p>
        </w:tc>
        <w:tc>
          <w:tcPr>
            <w:tcW w:w="4111" w:type="dxa"/>
          </w:tcPr>
          <w:p>
            <w:pPr>
              <w:pStyle w:val="ListeNummernArabisch"/>
              <w:numPr>
                <w:ilvl w:val="0"/>
                <w:numId w:val="0"/>
              </w:numPr>
              <w:contextualSpacing w:val="0"/>
            </w:pPr>
          </w:p>
        </w:tc>
      </w:tr>
      <w:t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992"/>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r>
        <w:trPr>
          <w:trHeight w:val="344"/>
        </w:trPr>
        <w:tc>
          <w:tcPr>
            <w:tcW w:w="4541" w:type="dxa"/>
            <w:vAlign w:val="bottom"/>
          </w:tcPr>
          <w:p>
            <w:pPr>
              <w:pStyle w:val="ListeNummernArabisch"/>
              <w:numPr>
                <w:ilvl w:val="0"/>
                <w:numId w:val="0"/>
              </w:numPr>
              <w:spacing w:after="120"/>
              <w:contextualSpacing w:val="0"/>
            </w:pPr>
          </w:p>
        </w:tc>
        <w:tc>
          <w:tcPr>
            <w:tcW w:w="4111" w:type="dxa"/>
            <w:tcBorders>
              <w:top w:val="single" w:sz="4" w:space="0" w:color="auto"/>
            </w:tcBorders>
            <w:vAlign w:val="bottom"/>
          </w:tcPr>
          <w:p>
            <w:pPr>
              <w:pStyle w:val="ListeNummernArabisch"/>
              <w:numPr>
                <w:ilvl w:val="0"/>
                <w:numId w:val="0"/>
              </w:numPr>
              <w:spacing w:after="120"/>
              <w:contextualSpacing w:val="0"/>
            </w:pPr>
          </w:p>
        </w:tc>
      </w:tr>
      <w:tr>
        <w:trPr>
          <w:trHeight w:val="411"/>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261"/>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bl>
    <w:p>
      <w:pPr>
        <w:pStyle w:val="ListeNummernArabisch"/>
        <w:numPr>
          <w:ilvl w:val="0"/>
          <w:numId w:val="0"/>
        </w:numPr>
        <w:ind w:left="709" w:hanging="709"/>
        <w:contextualSpacing w:val="0"/>
      </w:pP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t>Für die KESB</w:t>
            </w:r>
          </w:p>
        </w:tc>
        <w:tc>
          <w:tcPr>
            <w:tcW w:w="4111" w:type="dxa"/>
          </w:tcPr>
          <w:p>
            <w:pPr>
              <w:pStyle w:val="ListeNummernArabisch"/>
              <w:numPr>
                <w:ilvl w:val="0"/>
                <w:numId w:val="0"/>
              </w:numPr>
              <w:contextualSpacing w:val="0"/>
            </w:pPr>
          </w:p>
        </w:tc>
      </w:tr>
      <w:t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992"/>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Vorname"/>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Vorname</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Name"/>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Name</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Funktion"/>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Funktion</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bl>
    <w:p>
      <w:pPr>
        <w:pStyle w:val="ListeNummernArabisch"/>
        <w:numPr>
          <w:ilvl w:val="0"/>
          <w:numId w:val="0"/>
        </w:numPr>
        <w:spacing w:after="480"/>
        <w:ind w:left="709" w:hanging="709"/>
        <w:contextualSpacing w:val="0"/>
      </w:pPr>
    </w:p>
    <w:p>
      <w:pPr>
        <w:pStyle w:val="ListeNummernArabisch"/>
        <w:numPr>
          <w:ilvl w:val="0"/>
          <w:numId w:val="0"/>
        </w:numPr>
        <w:spacing w:after="120"/>
        <w:contextualSpacing w:val="0"/>
      </w:pPr>
      <w:r>
        <w:t>Von diesem Vertrag erhalten die Vertragsparteien sowie die KESB je ein Exemplar.</w:t>
      </w:r>
    </w:p>
    <w:p>
      <w:pPr>
        <w:pStyle w:val="ListeNummernArabisch"/>
        <w:numPr>
          <w:ilvl w:val="0"/>
          <w:numId w:val="0"/>
        </w:numPr>
        <w:spacing w:after="0"/>
        <w:contextualSpacing w:val="0"/>
        <w:rPr>
          <w:sz w:val="18"/>
        </w:rPr>
      </w:pPr>
      <w:r>
        <w:rPr>
          <w:sz w:val="18"/>
        </w:rPr>
        <w:t>Vertragsmuster des Amtes für Jugend und Berufsberatung, Bildungsdirektion des Kantons Zürich.</w:t>
      </w:r>
    </w:p>
    <w:p>
      <w:pPr>
        <w:pStyle w:val="ListeNummernArabisch"/>
        <w:numPr>
          <w:ilvl w:val="0"/>
          <w:numId w:val="0"/>
        </w:numPr>
        <w:spacing w:after="0"/>
        <w:contextualSpacing w:val="0"/>
        <w:rPr>
          <w:sz w:val="18"/>
        </w:rPr>
      </w:pPr>
      <w:r>
        <w:rPr>
          <w:sz w:val="18"/>
        </w:rPr>
        <w:t>Version März 2024.</w:t>
      </w:r>
    </w:p>
    <w:p>
      <w:pPr>
        <w:pStyle w:val="ListeNummernArabisch"/>
        <w:numPr>
          <w:ilvl w:val="0"/>
          <w:numId w:val="0"/>
        </w:numPr>
        <w:spacing w:after="0"/>
        <w:contextualSpacing w:val="0"/>
        <w:rPr>
          <w:sz w:val="18"/>
        </w:rPr>
      </w:pPr>
      <w:r>
        <w:rPr>
          <w:sz w:val="18"/>
        </w:rPr>
        <w:t xml:space="preserve">Weiter Informationen unter: </w:t>
      </w:r>
      <w:hyperlink r:id="rId6" w:history="1">
        <w:r>
          <w:rPr>
            <w:rStyle w:val="Hyperlink"/>
            <w:sz w:val="18"/>
          </w:rPr>
          <w:t>https://www.zh.ch/de/familie/ergaenzende-hilfen-zur-erziehung/pflegefamilien.html</w:t>
        </w:r>
      </w:hyperlink>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9B2"/>
    <w:multiLevelType w:val="multilevel"/>
    <w:tmpl w:val="EE0A7C52"/>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921A2"/>
    <w:multiLevelType w:val="hybridMultilevel"/>
    <w:tmpl w:val="00586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04724E"/>
    <w:multiLevelType w:val="hybridMultilevel"/>
    <w:tmpl w:val="ED28A71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4" w15:restartNumberingAfterBreak="0">
    <w:nsid w:val="1FC04072"/>
    <w:multiLevelType w:val="hybridMultilevel"/>
    <w:tmpl w:val="1BC239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2" w15:restartNumberingAfterBreak="0">
    <w:nsid w:val="548C4C60"/>
    <w:multiLevelType w:val="hybridMultilevel"/>
    <w:tmpl w:val="D07CB1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63323E8B"/>
    <w:multiLevelType w:val="hybridMultilevel"/>
    <w:tmpl w:val="4A9CB4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9"/>
  </w:num>
  <w:num w:numId="2">
    <w:abstractNumId w:val="7"/>
  </w:num>
  <w:num w:numId="3">
    <w:abstractNumId w:val="5"/>
  </w:num>
  <w:num w:numId="4">
    <w:abstractNumId w:val="10"/>
  </w:num>
  <w:num w:numId="5">
    <w:abstractNumId w:val="6"/>
  </w:num>
  <w:num w:numId="6">
    <w:abstractNumId w:val="15"/>
  </w:num>
  <w:num w:numId="7">
    <w:abstractNumId w:val="3"/>
  </w:num>
  <w:num w:numId="8">
    <w:abstractNumId w:val="11"/>
  </w:num>
  <w:num w:numId="9">
    <w:abstractNumId w:val="13"/>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4"/>
  </w:num>
  <w:num w:numId="15">
    <w:abstractNumId w:val="2"/>
  </w:num>
  <w:num w:numId="16">
    <w:abstractNumId w:val="1"/>
  </w:num>
  <w:num w:numId="17">
    <w:abstractNumId w:val="14"/>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2D34-EFBD-4D74-B5BC-A810F9A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5B9BD5" w:themeColor="accent1"/>
      <w:spacing w:val="15"/>
      <w:sz w:val="24"/>
      <w:szCs w:val="24"/>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5B9BD5"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1"/>
    </w:rPr>
  </w:style>
  <w:style w:type="paragraph" w:styleId="IntensivesZitat">
    <w:name w:val="Intense Quote"/>
    <w:basedOn w:val="Standard"/>
    <w:next w:val="Standard"/>
    <w:link w:val="IntensivesZitatZchn"/>
    <w:uiPriority w:val="30"/>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Pr>
      <w:rFonts w:ascii="Arial" w:hAnsi="Arial"/>
      <w:b/>
      <w:bCs/>
      <w:i/>
      <w:iCs/>
      <w:color w:val="5B9BD5" w:themeColor="accent1"/>
      <w:sz w:val="21"/>
    </w:rPr>
  </w:style>
  <w:style w:type="character" w:styleId="SchwacherVerweis">
    <w:name w:val="Subtle Reference"/>
    <w:basedOn w:val="Absatz-Standardschriftart"/>
    <w:uiPriority w:val="31"/>
    <w:rPr>
      <w:smallCaps/>
      <w:color w:val="ED7D31" w:themeColor="accent2"/>
      <w:u w:val="single"/>
    </w:rPr>
  </w:style>
  <w:style w:type="character" w:styleId="IntensiverVerweis">
    <w:name w:val="Intense Reference"/>
    <w:basedOn w:val="Absatz-Standardschriftart"/>
    <w:uiPriority w:val="32"/>
    <w:rPr>
      <w:b/>
      <w:bCs/>
      <w:smallCaps/>
      <w:color w:val="ED7D31"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rPr>
      <w:rFonts w:ascii="Arial" w:hAnsi="Arial"/>
      <w:sz w:val="21"/>
    </w:rPr>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1"/>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2"/>
      </w:numPr>
      <w:contextualSpacing/>
    </w:pPr>
  </w:style>
  <w:style w:type="paragraph" w:customStyle="1" w:styleId="ListePunkt">
    <w:name w:val="Liste_Punkt"/>
    <w:basedOn w:val="Grundtext"/>
    <w:pPr>
      <w:numPr>
        <w:numId w:val="3"/>
      </w:numPr>
      <w:contextualSpacing/>
    </w:pPr>
  </w:style>
  <w:style w:type="paragraph" w:customStyle="1" w:styleId="ListeNummernArabisch">
    <w:name w:val="Liste_Nummern_Arabisch"/>
    <w:basedOn w:val="Grundtext"/>
    <w:pPr>
      <w:numPr>
        <w:numId w:val="4"/>
      </w:numPr>
      <w:contextualSpacing/>
    </w:pPr>
  </w:style>
  <w:style w:type="paragraph" w:customStyle="1" w:styleId="ListeNummernRoemisch">
    <w:name w:val="Liste_Nummern_Roemisch"/>
    <w:basedOn w:val="Grundtext"/>
    <w:pPr>
      <w:numPr>
        <w:numId w:val="5"/>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6"/>
      </w:numPr>
      <w:tabs>
        <w:tab w:val="left" w:pos="369"/>
      </w:tabs>
      <w:ind w:left="369" w:hanging="369"/>
    </w:pPr>
  </w:style>
  <w:style w:type="paragraph" w:customStyle="1" w:styleId="AntragListeAlphabetisch">
    <w:name w:val="Antrag_Liste_Alphabetisch"/>
    <w:basedOn w:val="Grundtext"/>
    <w:pPr>
      <w:numPr>
        <w:numId w:val="7"/>
      </w:numPr>
      <w:tabs>
        <w:tab w:val="left" w:pos="567"/>
      </w:tabs>
    </w:pPr>
  </w:style>
  <w:style w:type="paragraph" w:customStyle="1" w:styleId="AntragListeRoemisch">
    <w:name w:val="Antrag_Liste_Roemisch"/>
    <w:basedOn w:val="Grundtext"/>
    <w:pPr>
      <w:numPr>
        <w:numId w:val="8"/>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9"/>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10"/>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11"/>
      </w:numPr>
      <w:tabs>
        <w:tab w:val="left" w:pos="567"/>
      </w:tabs>
      <w:spacing w:after="0"/>
      <w:contextualSpacing/>
    </w:pPr>
    <w:rPr>
      <w:rFonts w:eastAsia="Times New Roman" w:cs="Arial"/>
      <w:color w:val="000000"/>
      <w:szCs w:val="20"/>
    </w:rPr>
  </w:style>
  <w:style w:type="paragraph" w:customStyle="1" w:styleId="InvisibleLine">
    <w:name w:val="InvisibleLine"/>
    <w:basedOn w:val="Grundtext"/>
    <w:pPr>
      <w:spacing w:after="0" w:line="14" w:lineRule="exact"/>
    </w:pPr>
    <w:rPr>
      <w:sz w:val="2"/>
    </w:rPr>
  </w:style>
  <w:style w:type="paragraph" w:customStyle="1" w:styleId="GrundtextEingerueckt">
    <w:name w:val="GrundtextEingerueckt"/>
    <w:basedOn w:val="Grundtext"/>
    <w:pPr>
      <w:spacing w:after="360"/>
      <w:ind w:left="397"/>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semiHidden/>
    <w:rPr>
      <w:color w:val="0000FF"/>
      <w:u w:val="single"/>
    </w:rPr>
  </w:style>
  <w:style w:type="paragraph" w:styleId="Listenabsatz">
    <w:name w:val="List Paragraph"/>
    <w:basedOn w:val="Standard"/>
    <w:uiPriority w:val="34"/>
    <w:qFormat/>
    <w:pPr>
      <w:spacing w:after="160" w:line="259" w:lineRule="auto"/>
      <w:ind w:left="720"/>
      <w:contextualSpacing/>
    </w:pPr>
    <w:rPr>
      <w:rFonts w:asciiTheme="minorHAnsi" w:hAnsiTheme="minorHAnsi"/>
      <w:sz w:val="22"/>
    </w:rPr>
  </w:style>
  <w:style w:type="paragraph" w:styleId="berarbeitung">
    <w:name w:val="Revision"/>
    <w:hidden/>
    <w:uiPriority w:val="99"/>
    <w:semiHidden/>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h.ch/de/familie/ergaenzende-hilfen-zur-erziehung/pflegefamili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4FB9-A54F-4BC9-968E-9B4AA24F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13482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Bildungsdirektion Kanton Zürich</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Marco</dc:creator>
  <cp:keywords/>
  <dc:description/>
  <cp:lastModifiedBy>Sarah Duss</cp:lastModifiedBy>
  <cp:revision>30</cp:revision>
  <dcterms:created xsi:type="dcterms:W3CDTF">2024-01-31T10:41:00Z</dcterms:created>
  <dcterms:modified xsi:type="dcterms:W3CDTF">2024-03-22T14:04:00Z</dcterms:modified>
</cp:coreProperties>
</file>